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
        <w:rPr>
          <w:rFonts w:ascii="Times New Roman"/>
        </w:rPr>
      </w:pPr>
      <w:bookmarkStart w:id="0" w:name="_GoBack"/>
      <w:bookmarkEnd w:id="0"/>
    </w:p>
    <w:p>
      <w:pPr>
        <w:pStyle w:val="BodyText"/>
        <w:spacing w:before="3"/>
        <w:rPr>
          <w:rFonts w:ascii="Times New Roman"/>
          <w:sz w:val="26"/>
        </w:rPr>
      </w:pPr>
    </w:p>
    <w:p>
      <w:pPr>
        <w:spacing w:before="99"/>
        <w:ind w:left="3505" w:right="395" w:hanging="2943"/>
        <w:rPr>
          <w:b/>
          <w:sz w:val="20"/>
        </w:rPr>
      </w:pPr>
      <w:r>
        <w:rPr>
          <w:b/>
          <w:sz w:val="20"/>
        </w:rPr>
        <w:t>CONDIŢII SPECIFICE PENTRU CONTRACTUL DE PROIECTARE, EXECUŢIE ŞI OPERARE DE LUCRĂRI</w:t>
      </w:r>
    </w:p>
    <w:p>
      <w:pPr>
        <w:spacing w:before="4"/>
        <w:rPr>
          <w:b/>
          <w:sz w:val="32"/>
        </w:rPr>
      </w:pPr>
    </w:p>
    <w:p>
      <w:pPr>
        <w:pStyle w:val="BodyText"/>
        <w:spacing w:line="312" w:lineRule="auto"/>
        <w:ind w:left="116" w:right="161"/>
        <w:jc w:val="both"/>
      </w:pPr>
      <w:r>
        <w:t>Aceste Condiţii Specifice, denumite şi Condiţii Speciale, privind Contractul de proiectare, execuţie şi operare de lucrări, completează, clarifică, amendează sau instituie excepţii de aplicabilitate de la Condiţiile Generale de Contract. Prevederile clauzelor neschimbate de prezentele Condiţii Speciale sunt valabile în forma dată de Condiţiile Generale. În cazul unor neconcordanţe între Condiţiile Speciale şi Condiţiile Generale, primează prevederile Condiţiilor Speciale. Numerotarea clauzelor Condiţiilor Speciale nu este consecutivă, corespunde sau completează numerotarea clauzelor Condiţiilor Generale.</w:t>
      </w:r>
    </w:p>
    <w:p>
      <w:pPr>
        <w:pStyle w:val="BodyText"/>
        <w:spacing w:before="121" w:line="316" w:lineRule="auto"/>
        <w:ind w:left="116" w:right="165"/>
        <w:jc w:val="both"/>
      </w:pPr>
      <w:r>
        <w:t>Beneficiarii sunt îndreptăţiţi să elaboreze Condiţii Speciale numai cu privire la subclauzele şi numai în legătură cu subiectele listate în tabelul de mai jos. Orice altă Condiţie Specială este nulă.</w:t>
      </w:r>
    </w:p>
    <w:p>
      <w:pPr>
        <w:rPr>
          <w:sz w:val="20"/>
        </w:rPr>
      </w:pPr>
    </w:p>
    <w:p>
      <w:pPr>
        <w:spacing w:before="2" w:after="1"/>
        <w:rPr>
          <w:sz w:val="21"/>
        </w:rPr>
      </w:pPr>
    </w:p>
    <w:tbl>
      <w:tblPr>
        <w:tblW w:w="0" w:type="auto"/>
        <w:tblInd w:w="1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0"/>
        <w:gridCol w:w="7277"/>
      </w:tblGrid>
      <w:tr>
        <w:trPr>
          <w:trHeight w:val="546"/>
        </w:trPr>
        <w:tc>
          <w:tcPr>
            <w:tcW w:w="1800" w:type="dxa"/>
          </w:tcPr>
          <w:p>
            <w:pPr>
              <w:pStyle w:val="TableParagraph"/>
              <w:spacing w:before="17"/>
              <w:ind w:left="371"/>
              <w:rPr>
                <w:sz w:val="20"/>
              </w:rPr>
            </w:pPr>
            <w:r>
              <w:rPr>
                <w:sz w:val="20"/>
              </w:rPr>
              <w:t>Clauza şi</w:t>
            </w:r>
          </w:p>
          <w:p>
            <w:pPr>
              <w:pStyle w:val="TableParagraph"/>
              <w:spacing w:before="30" w:line="236" w:lineRule="exact"/>
              <w:ind w:left="371"/>
              <w:rPr>
                <w:sz w:val="20"/>
              </w:rPr>
            </w:pPr>
            <w:r>
              <w:rPr>
                <w:sz w:val="20"/>
              </w:rPr>
              <w:t>subclauza</w:t>
            </w:r>
          </w:p>
        </w:tc>
        <w:tc>
          <w:tcPr>
            <w:tcW w:w="7277" w:type="dxa"/>
          </w:tcPr>
          <w:p>
            <w:pPr>
              <w:pStyle w:val="TableParagraph"/>
              <w:ind w:left="3107" w:right="3187"/>
              <w:jc w:val="center"/>
              <w:rPr>
                <w:sz w:val="20"/>
              </w:rPr>
            </w:pPr>
            <w:r>
              <w:rPr>
                <w:sz w:val="20"/>
              </w:rPr>
              <w:t>Subiectul</w:t>
            </w:r>
          </w:p>
        </w:tc>
      </w:tr>
      <w:tr>
        <w:trPr>
          <w:trHeight w:val="244"/>
        </w:trPr>
        <w:tc>
          <w:tcPr>
            <w:tcW w:w="9077" w:type="dxa"/>
            <w:gridSpan w:val="2"/>
          </w:tcPr>
          <w:p>
            <w:pPr>
              <w:pStyle w:val="TableParagraph"/>
              <w:ind w:left="0"/>
              <w:rPr>
                <w:rFonts w:ascii="Times New Roman"/>
                <w:sz w:val="16"/>
              </w:rPr>
            </w:pPr>
          </w:p>
        </w:tc>
      </w:tr>
      <w:tr>
        <w:trPr>
          <w:trHeight w:val="241"/>
        </w:trPr>
        <w:tc>
          <w:tcPr>
            <w:tcW w:w="9077" w:type="dxa"/>
            <w:gridSpan w:val="2"/>
          </w:tcPr>
          <w:p>
            <w:pPr>
              <w:pStyle w:val="TableParagraph"/>
              <w:spacing w:line="222" w:lineRule="exact"/>
              <w:rPr>
                <w:sz w:val="20"/>
              </w:rPr>
            </w:pPr>
            <w:r>
              <w:rPr>
                <w:sz w:val="20"/>
              </w:rPr>
              <w:t>Clauza 5 - Supervizorul şi reprezentantul Supervizorului</w:t>
            </w:r>
          </w:p>
        </w:tc>
      </w:tr>
      <w:tr>
        <w:trPr>
          <w:trHeight w:val="7465"/>
        </w:trPr>
        <w:tc>
          <w:tcPr>
            <w:tcW w:w="1800" w:type="dxa"/>
          </w:tcPr>
          <w:p>
            <w:pPr>
              <w:pStyle w:val="TableParagraph"/>
              <w:spacing w:before="2"/>
              <w:rPr>
                <w:sz w:val="20"/>
              </w:rPr>
            </w:pPr>
            <w:r>
              <w:rPr>
                <w:sz w:val="20"/>
              </w:rPr>
              <w:t>5.1</w:t>
            </w:r>
          </w:p>
        </w:tc>
        <w:tc>
          <w:tcPr>
            <w:tcW w:w="7277" w:type="dxa"/>
          </w:tcPr>
          <w:p>
            <w:pPr>
              <w:pStyle w:val="TableParagraph"/>
              <w:spacing w:before="2"/>
              <w:jc w:val="both"/>
              <w:rPr>
                <w:sz w:val="20"/>
              </w:rPr>
            </w:pPr>
            <w:r>
              <w:rPr>
                <w:sz w:val="20"/>
              </w:rPr>
              <w:t>Conţinutul sub-clauzei 5.1, alin 1 se completează cu următoarele:</w:t>
            </w:r>
          </w:p>
          <w:p>
            <w:pPr>
              <w:pStyle w:val="TableParagraph"/>
              <w:spacing w:before="11"/>
              <w:ind w:left="0"/>
              <w:rPr>
                <w:sz w:val="19"/>
              </w:rPr>
            </w:pPr>
          </w:p>
          <w:p>
            <w:pPr>
              <w:pStyle w:val="TableParagraph"/>
              <w:ind w:right="21"/>
              <w:jc w:val="both"/>
              <w:rPr>
                <w:i/>
                <w:sz w:val="20"/>
              </w:rPr>
            </w:pPr>
            <w:r>
              <w:rPr>
                <w:i/>
                <w:sz w:val="20"/>
              </w:rPr>
              <w:t>”Pentru Perioada de Operare se va numi un Supervizor, angajat al ADI ECOSERV, nominalizat special în acest sens, pentru îndeplinirea atribuțiilor de supervizare a activității de operare.”</w:t>
            </w:r>
          </w:p>
          <w:p>
            <w:pPr>
              <w:pStyle w:val="TableParagraph"/>
              <w:ind w:left="0"/>
              <w:rPr>
                <w:sz w:val="20"/>
              </w:rPr>
            </w:pPr>
          </w:p>
          <w:p>
            <w:pPr>
              <w:pStyle w:val="TableParagraph"/>
              <w:ind w:right="21"/>
              <w:jc w:val="both"/>
              <w:rPr>
                <w:sz w:val="20"/>
              </w:rPr>
            </w:pPr>
            <w:r>
              <w:rPr>
                <w:sz w:val="20"/>
              </w:rPr>
              <w:t>Sarcinile Supervizorului, la sfârşitul subclauzei 5.1 se adaugă următoarele:</w:t>
            </w:r>
          </w:p>
          <w:p>
            <w:pPr>
              <w:pStyle w:val="TableParagraph"/>
              <w:spacing w:line="228" w:lineRule="auto"/>
              <w:ind w:right="23"/>
              <w:jc w:val="both"/>
              <w:rPr>
                <w:i/>
                <w:sz w:val="20"/>
              </w:rPr>
            </w:pPr>
            <w:r>
              <w:rPr>
                <w:i/>
                <w:sz w:val="20"/>
              </w:rPr>
              <w:t>"(r) va obţine aprobarea expresă a Beneficiarului, în lipsa căreia acţiunea Supervizorului va fi considerată a nu produce efecte, pentru:</w:t>
            </w:r>
          </w:p>
          <w:p>
            <w:pPr>
              <w:pStyle w:val="TableParagraph"/>
              <w:numPr>
                <w:ilvl w:val="0"/>
                <w:numId w:val="4"/>
              </w:numPr>
              <w:tabs>
                <w:tab w:val="left" w:pos="747"/>
              </w:tabs>
              <w:spacing w:line="223" w:lineRule="exact"/>
              <w:jc w:val="both"/>
              <w:rPr>
                <w:i/>
                <w:sz w:val="20"/>
              </w:rPr>
            </w:pPr>
            <w:r>
              <w:rPr>
                <w:i/>
                <w:sz w:val="20"/>
              </w:rPr>
              <w:t>delegarea autorităţii</w:t>
            </w:r>
            <w:r>
              <w:rPr>
                <w:i/>
                <w:spacing w:val="-2"/>
                <w:sz w:val="20"/>
              </w:rPr>
              <w:t xml:space="preserve"> </w:t>
            </w:r>
            <w:r>
              <w:rPr>
                <w:i/>
                <w:sz w:val="20"/>
              </w:rPr>
              <w:t>Supervizorului;</w:t>
            </w:r>
          </w:p>
          <w:p>
            <w:pPr>
              <w:pStyle w:val="TableParagraph"/>
              <w:numPr>
                <w:ilvl w:val="0"/>
                <w:numId w:val="4"/>
              </w:numPr>
              <w:tabs>
                <w:tab w:val="left" w:pos="751"/>
              </w:tabs>
              <w:spacing w:line="228" w:lineRule="auto"/>
              <w:ind w:left="760" w:right="23" w:hanging="360"/>
              <w:jc w:val="both"/>
              <w:rPr>
                <w:i/>
                <w:sz w:val="20"/>
              </w:rPr>
            </w:pPr>
            <w:r>
              <w:rPr>
                <w:i/>
                <w:sz w:val="20"/>
              </w:rPr>
              <w:t>emiterea unui Ordin Administrativ privind suspendarea, parţială sau integrală, a executării Lucrărilor;</w:t>
            </w:r>
          </w:p>
          <w:p>
            <w:pPr>
              <w:pStyle w:val="TableParagraph"/>
              <w:numPr>
                <w:ilvl w:val="0"/>
                <w:numId w:val="4"/>
              </w:numPr>
              <w:tabs>
                <w:tab w:val="left" w:pos="761"/>
              </w:tabs>
              <w:spacing w:line="228" w:lineRule="auto"/>
              <w:ind w:left="760" w:right="23" w:hanging="360"/>
              <w:jc w:val="both"/>
              <w:rPr>
                <w:i/>
                <w:sz w:val="20"/>
              </w:rPr>
            </w:pPr>
            <w:r>
              <w:rPr>
                <w:i/>
                <w:sz w:val="20"/>
              </w:rPr>
              <w:t>darea unui  consimţământ  asupra  detaliilor  aferente  execuţiei</w:t>
            </w:r>
            <w:r>
              <w:rPr>
                <w:i/>
                <w:spacing w:val="1"/>
                <w:sz w:val="20"/>
              </w:rPr>
              <w:t xml:space="preserve"> </w:t>
            </w:r>
            <w:r>
              <w:rPr>
                <w:i/>
                <w:sz w:val="20"/>
              </w:rPr>
              <w:t>Lucrărilor;</w:t>
            </w:r>
          </w:p>
          <w:p>
            <w:pPr>
              <w:pStyle w:val="TableParagraph"/>
              <w:numPr>
                <w:ilvl w:val="0"/>
                <w:numId w:val="4"/>
              </w:numPr>
              <w:tabs>
                <w:tab w:val="left" w:pos="761"/>
              </w:tabs>
              <w:spacing w:line="225" w:lineRule="auto"/>
              <w:ind w:left="760" w:right="24" w:hanging="360"/>
              <w:jc w:val="both"/>
              <w:rPr>
                <w:i/>
                <w:sz w:val="20"/>
              </w:rPr>
            </w:pPr>
            <w:r>
              <w:rPr>
                <w:i/>
                <w:sz w:val="20"/>
              </w:rPr>
              <w:t>emiterea unei Decizii care ar face ca Valoarea Contractului să depăşească Preţul Contractului sau orice valoare de contract convenită ulterior în cadrul unor acte adiţionale la</w:t>
            </w:r>
            <w:r>
              <w:rPr>
                <w:i/>
                <w:spacing w:val="-15"/>
                <w:sz w:val="20"/>
              </w:rPr>
              <w:t xml:space="preserve"> </w:t>
            </w:r>
            <w:r>
              <w:rPr>
                <w:i/>
                <w:sz w:val="20"/>
              </w:rPr>
              <w:t>Contract;</w:t>
            </w:r>
          </w:p>
          <w:p>
            <w:pPr>
              <w:pStyle w:val="TableParagraph"/>
              <w:numPr>
                <w:ilvl w:val="0"/>
                <w:numId w:val="4"/>
              </w:numPr>
              <w:tabs>
                <w:tab w:val="left" w:pos="747"/>
              </w:tabs>
              <w:spacing w:line="228" w:lineRule="auto"/>
              <w:ind w:left="760" w:right="22" w:hanging="360"/>
              <w:jc w:val="both"/>
              <w:rPr>
                <w:i/>
                <w:sz w:val="20"/>
              </w:rPr>
            </w:pPr>
            <w:r>
              <w:rPr>
                <w:i/>
                <w:sz w:val="20"/>
              </w:rPr>
              <w:t>emiterea unei Decizii care ar conduce la prelungirea Duratei de Execuţie;</w:t>
            </w:r>
          </w:p>
          <w:p>
            <w:pPr>
              <w:pStyle w:val="TableParagraph"/>
              <w:numPr>
                <w:ilvl w:val="0"/>
                <w:numId w:val="4"/>
              </w:numPr>
              <w:tabs>
                <w:tab w:val="left" w:pos="761"/>
              </w:tabs>
              <w:spacing w:line="225" w:lineRule="auto"/>
              <w:ind w:left="760" w:right="22" w:hanging="360"/>
              <w:jc w:val="both"/>
              <w:rPr>
                <w:i/>
                <w:sz w:val="20"/>
              </w:rPr>
            </w:pPr>
            <w:r>
              <w:rPr>
                <w:i/>
                <w:sz w:val="20"/>
              </w:rPr>
              <w:t>aprobarea prin Ordin Administrativ a unei Modificări pentru includerea unor lucrări suplimentare sau pentru omiterea, substituirea sau modificarea unor</w:t>
            </w:r>
            <w:r>
              <w:rPr>
                <w:i/>
                <w:spacing w:val="3"/>
                <w:sz w:val="20"/>
              </w:rPr>
              <w:t xml:space="preserve"> </w:t>
            </w:r>
            <w:r>
              <w:rPr>
                <w:i/>
                <w:sz w:val="20"/>
              </w:rPr>
              <w:t>Lucrări.</w:t>
            </w:r>
          </w:p>
          <w:p>
            <w:pPr>
              <w:pStyle w:val="TableParagraph"/>
              <w:numPr>
                <w:ilvl w:val="0"/>
                <w:numId w:val="3"/>
              </w:numPr>
              <w:tabs>
                <w:tab w:val="left" w:pos="399"/>
              </w:tabs>
              <w:spacing w:before="2" w:line="228" w:lineRule="auto"/>
              <w:ind w:right="24" w:firstLine="0"/>
              <w:jc w:val="both"/>
              <w:rPr>
                <w:i/>
                <w:sz w:val="20"/>
              </w:rPr>
            </w:pPr>
            <w:r>
              <w:rPr>
                <w:i/>
                <w:sz w:val="20"/>
              </w:rPr>
              <w:t>Supervizorul va notifica Beneficiarul în termen de maxim 7zile de la apariţia unui eveniment cu privire la cazurile în</w:t>
            </w:r>
            <w:r>
              <w:rPr>
                <w:i/>
                <w:spacing w:val="-7"/>
                <w:sz w:val="20"/>
              </w:rPr>
              <w:t xml:space="preserve"> </w:t>
            </w:r>
            <w:r>
              <w:rPr>
                <w:i/>
                <w:sz w:val="20"/>
              </w:rPr>
              <w:t>care:</w:t>
            </w:r>
          </w:p>
          <w:p>
            <w:pPr>
              <w:pStyle w:val="TableParagraph"/>
              <w:numPr>
                <w:ilvl w:val="1"/>
                <w:numId w:val="3"/>
              </w:numPr>
              <w:tabs>
                <w:tab w:val="left" w:pos="761"/>
              </w:tabs>
              <w:spacing w:line="228" w:lineRule="auto"/>
              <w:ind w:right="23"/>
              <w:jc w:val="both"/>
              <w:rPr>
                <w:i/>
                <w:sz w:val="20"/>
              </w:rPr>
            </w:pPr>
            <w:r>
              <w:rPr>
                <w:i/>
                <w:sz w:val="20"/>
              </w:rPr>
              <w:t>Supervizorul consideră că se întrunesc condiţiile pentru transmiterea</w:t>
            </w:r>
            <w:r>
              <w:rPr>
                <w:i/>
                <w:spacing w:val="-9"/>
                <w:sz w:val="20"/>
              </w:rPr>
              <w:t xml:space="preserve"> </w:t>
            </w:r>
            <w:r>
              <w:rPr>
                <w:i/>
                <w:sz w:val="20"/>
              </w:rPr>
              <w:t>unei</w:t>
            </w:r>
            <w:r>
              <w:rPr>
                <w:i/>
                <w:spacing w:val="-7"/>
                <w:sz w:val="20"/>
              </w:rPr>
              <w:t xml:space="preserve"> </w:t>
            </w:r>
            <w:r>
              <w:rPr>
                <w:i/>
                <w:sz w:val="20"/>
              </w:rPr>
              <w:t>revendicări</w:t>
            </w:r>
            <w:r>
              <w:rPr>
                <w:i/>
                <w:spacing w:val="-10"/>
                <w:sz w:val="20"/>
              </w:rPr>
              <w:t xml:space="preserve"> </w:t>
            </w:r>
            <w:r>
              <w:rPr>
                <w:i/>
                <w:sz w:val="20"/>
              </w:rPr>
              <w:t>de</w:t>
            </w:r>
            <w:r>
              <w:rPr>
                <w:i/>
                <w:spacing w:val="-11"/>
                <w:sz w:val="20"/>
              </w:rPr>
              <w:t xml:space="preserve"> </w:t>
            </w:r>
            <w:r>
              <w:rPr>
                <w:i/>
                <w:sz w:val="20"/>
              </w:rPr>
              <w:t>către</w:t>
            </w:r>
            <w:r>
              <w:rPr>
                <w:i/>
                <w:spacing w:val="-9"/>
                <w:sz w:val="20"/>
              </w:rPr>
              <w:t xml:space="preserve"> </w:t>
            </w:r>
            <w:r>
              <w:rPr>
                <w:i/>
                <w:sz w:val="20"/>
              </w:rPr>
              <w:t>Beneficiar</w:t>
            </w:r>
            <w:r>
              <w:rPr>
                <w:i/>
                <w:spacing w:val="-9"/>
                <w:sz w:val="20"/>
              </w:rPr>
              <w:t xml:space="preserve"> </w:t>
            </w:r>
            <w:r>
              <w:rPr>
                <w:i/>
                <w:sz w:val="20"/>
              </w:rPr>
              <w:t>în</w:t>
            </w:r>
            <w:r>
              <w:rPr>
                <w:i/>
                <w:spacing w:val="-9"/>
                <w:sz w:val="20"/>
              </w:rPr>
              <w:t xml:space="preserve"> </w:t>
            </w:r>
            <w:r>
              <w:rPr>
                <w:i/>
                <w:sz w:val="20"/>
              </w:rPr>
              <w:t>conformitate cu Clauza</w:t>
            </w:r>
            <w:r>
              <w:rPr>
                <w:i/>
                <w:spacing w:val="-2"/>
                <w:sz w:val="20"/>
              </w:rPr>
              <w:t xml:space="preserve"> </w:t>
            </w:r>
            <w:r>
              <w:rPr>
                <w:i/>
                <w:sz w:val="20"/>
              </w:rPr>
              <w:t>69b;</w:t>
            </w:r>
          </w:p>
          <w:p>
            <w:pPr>
              <w:pStyle w:val="TableParagraph"/>
              <w:numPr>
                <w:ilvl w:val="1"/>
                <w:numId w:val="3"/>
              </w:numPr>
              <w:tabs>
                <w:tab w:val="left" w:pos="761"/>
              </w:tabs>
              <w:spacing w:line="228" w:lineRule="auto"/>
              <w:ind w:right="24"/>
              <w:jc w:val="both"/>
              <w:rPr>
                <w:i/>
                <w:sz w:val="20"/>
              </w:rPr>
            </w:pPr>
            <w:r>
              <w:rPr>
                <w:i/>
                <w:sz w:val="20"/>
              </w:rPr>
              <w:t>Supervizorul</w:t>
            </w:r>
            <w:r>
              <w:rPr>
                <w:i/>
                <w:spacing w:val="-17"/>
                <w:sz w:val="20"/>
              </w:rPr>
              <w:t xml:space="preserve"> </w:t>
            </w:r>
            <w:r>
              <w:rPr>
                <w:i/>
                <w:sz w:val="20"/>
              </w:rPr>
              <w:t>consideră</w:t>
            </w:r>
            <w:r>
              <w:rPr>
                <w:i/>
                <w:spacing w:val="-14"/>
                <w:sz w:val="20"/>
              </w:rPr>
              <w:t xml:space="preserve"> </w:t>
            </w:r>
            <w:r>
              <w:rPr>
                <w:i/>
                <w:sz w:val="20"/>
              </w:rPr>
              <w:t>că</w:t>
            </w:r>
            <w:r>
              <w:rPr>
                <w:i/>
                <w:spacing w:val="-14"/>
                <w:sz w:val="20"/>
              </w:rPr>
              <w:t xml:space="preserve"> </w:t>
            </w:r>
            <w:r>
              <w:rPr>
                <w:i/>
                <w:sz w:val="20"/>
              </w:rPr>
              <w:t>se</w:t>
            </w:r>
            <w:r>
              <w:rPr>
                <w:i/>
                <w:spacing w:val="-20"/>
                <w:sz w:val="20"/>
              </w:rPr>
              <w:t xml:space="preserve"> </w:t>
            </w:r>
            <w:r>
              <w:rPr>
                <w:i/>
                <w:sz w:val="20"/>
              </w:rPr>
              <w:t>întrunesc</w:t>
            </w:r>
            <w:r>
              <w:rPr>
                <w:i/>
                <w:spacing w:val="-14"/>
                <w:sz w:val="20"/>
              </w:rPr>
              <w:t xml:space="preserve"> </w:t>
            </w:r>
            <w:r>
              <w:rPr>
                <w:i/>
                <w:sz w:val="20"/>
              </w:rPr>
              <w:t>condiţiile</w:t>
            </w:r>
            <w:r>
              <w:rPr>
                <w:i/>
                <w:spacing w:val="-12"/>
                <w:sz w:val="20"/>
              </w:rPr>
              <w:t xml:space="preserve"> </w:t>
            </w:r>
            <w:r>
              <w:rPr>
                <w:i/>
                <w:sz w:val="20"/>
              </w:rPr>
              <w:t>pentru</w:t>
            </w:r>
            <w:r>
              <w:rPr>
                <w:i/>
                <w:spacing w:val="-16"/>
                <w:sz w:val="20"/>
              </w:rPr>
              <w:t xml:space="preserve"> </w:t>
            </w:r>
            <w:r>
              <w:rPr>
                <w:i/>
                <w:sz w:val="20"/>
              </w:rPr>
              <w:t>rezilierea Contractului de către Beneficiar în conformitate cu prevederile subclauzei</w:t>
            </w:r>
            <w:r>
              <w:rPr>
                <w:i/>
                <w:spacing w:val="-1"/>
                <w:sz w:val="20"/>
              </w:rPr>
              <w:t xml:space="preserve"> </w:t>
            </w:r>
            <w:r>
              <w:rPr>
                <w:i/>
                <w:sz w:val="20"/>
              </w:rPr>
              <w:t>64.1"</w:t>
            </w:r>
          </w:p>
        </w:tc>
      </w:tr>
    </w:tbl>
    <w:p>
      <w:pPr>
        <w:spacing w:line="228" w:lineRule="auto"/>
        <w:jc w:val="both"/>
        <w:rPr>
          <w:sz w:val="20"/>
        </w:rPr>
        <w:sectPr>
          <w:headerReference w:type="default" r:id="rId7"/>
          <w:type w:val="continuous"/>
          <w:pgSz w:w="11910" w:h="16840"/>
          <w:pgMar w:top="1580" w:right="960" w:bottom="280" w:left="1580" w:header="426" w:footer="720" w:gutter="0"/>
          <w:pgNumType w:start="393"/>
          <w:cols w:space="720"/>
        </w:sectPr>
      </w:pPr>
    </w:p>
    <w:p>
      <w:pPr>
        <w:rPr>
          <w:sz w:val="20"/>
        </w:rPr>
      </w:pPr>
    </w:p>
    <w:p>
      <w:pPr>
        <w:spacing w:before="12"/>
        <w:rPr>
          <w:sz w:val="27"/>
        </w:rPr>
      </w:pPr>
    </w:p>
    <w:tbl>
      <w:tblPr>
        <w:tblW w:w="0" w:type="auto"/>
        <w:tblInd w:w="1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0"/>
        <w:gridCol w:w="7277"/>
      </w:tblGrid>
      <w:tr>
        <w:trPr>
          <w:trHeight w:val="241"/>
        </w:trPr>
        <w:tc>
          <w:tcPr>
            <w:tcW w:w="9077" w:type="dxa"/>
            <w:gridSpan w:val="2"/>
          </w:tcPr>
          <w:p>
            <w:pPr>
              <w:pStyle w:val="TableParagraph"/>
              <w:spacing w:line="222" w:lineRule="exact"/>
              <w:rPr>
                <w:sz w:val="20"/>
              </w:rPr>
            </w:pPr>
            <w:r>
              <w:rPr>
                <w:sz w:val="20"/>
              </w:rPr>
              <w:t>Clauza 8 - Furnizarea Documentelor Beneficiarului</w:t>
            </w:r>
          </w:p>
        </w:tc>
      </w:tr>
      <w:tr>
        <w:trPr>
          <w:trHeight w:val="2857"/>
        </w:trPr>
        <w:tc>
          <w:tcPr>
            <w:tcW w:w="1800" w:type="dxa"/>
          </w:tcPr>
          <w:p>
            <w:pPr>
              <w:pStyle w:val="TableParagraph"/>
              <w:spacing w:before="2"/>
              <w:rPr>
                <w:sz w:val="20"/>
              </w:rPr>
            </w:pPr>
            <w:r>
              <w:rPr>
                <w:sz w:val="20"/>
              </w:rPr>
              <w:t>8.2</w:t>
            </w:r>
          </w:p>
        </w:tc>
        <w:tc>
          <w:tcPr>
            <w:tcW w:w="7277" w:type="dxa"/>
          </w:tcPr>
          <w:p>
            <w:pPr>
              <w:pStyle w:val="TableParagraph"/>
              <w:spacing w:before="22" w:line="276" w:lineRule="auto"/>
              <w:ind w:right="995"/>
              <w:rPr>
                <w:sz w:val="20"/>
              </w:rPr>
            </w:pPr>
            <w:r>
              <w:rPr>
                <w:sz w:val="20"/>
              </w:rPr>
              <w:t>calendar pentru furnizarea unui exemplar complet al tuturor Documentelor Beneficiarului, se modifică după cum urmează:</w:t>
            </w:r>
          </w:p>
          <w:p>
            <w:pPr>
              <w:pStyle w:val="TableParagraph"/>
              <w:spacing w:before="199" w:line="228" w:lineRule="auto"/>
              <w:ind w:right="26" w:firstLine="4"/>
              <w:rPr>
                <w:i/>
                <w:sz w:val="20"/>
              </w:rPr>
            </w:pPr>
            <w:r>
              <w:rPr>
                <w:i/>
                <w:sz w:val="20"/>
              </w:rPr>
              <w:t xml:space="preserve">”In termen de </w:t>
            </w:r>
            <w:r>
              <w:rPr>
                <w:b/>
                <w:i/>
                <w:sz w:val="20"/>
              </w:rPr>
              <w:t xml:space="preserve">30 zile </w:t>
            </w:r>
            <w:r>
              <w:rPr>
                <w:i/>
                <w:sz w:val="20"/>
              </w:rPr>
              <w:t>de la semnarea Contractului, Supervizorul va transmite Antreprenorului, gratuit, un exemplar complet al studiului de fezabilitate întocmit pentru proiectarea şi execuţia Lucrărilor, precum şi al tuturor Documentelor Beneficiarului relevante pentru proiectarea şi execuţia Lucrărilor sau va confirma că studiul de fezabilitate complet şi toate aceste Documente au fost furnizate ca parte a documentaţiei de atribuire. In situatia in care nu este stabilit Supervizorul pana la semnarea contractului de lucrari, aceste documente vor fi transmise</w:t>
            </w:r>
            <w:r>
              <w:rPr>
                <w:i/>
                <w:spacing w:val="-24"/>
                <w:sz w:val="20"/>
              </w:rPr>
              <w:t xml:space="preserve"> </w:t>
            </w:r>
            <w:r>
              <w:rPr>
                <w:i/>
                <w:sz w:val="20"/>
              </w:rPr>
              <w:t>de</w:t>
            </w:r>
          </w:p>
          <w:p>
            <w:pPr>
              <w:pStyle w:val="TableParagraph"/>
              <w:spacing w:line="210" w:lineRule="exact"/>
              <w:rPr>
                <w:i/>
                <w:sz w:val="20"/>
              </w:rPr>
            </w:pPr>
            <w:r>
              <w:rPr>
                <w:i/>
                <w:sz w:val="20"/>
              </w:rPr>
              <w:t>catre Beneficiar.”</w:t>
            </w:r>
          </w:p>
        </w:tc>
      </w:tr>
      <w:tr>
        <w:trPr>
          <w:trHeight w:val="241"/>
        </w:trPr>
        <w:tc>
          <w:tcPr>
            <w:tcW w:w="9077" w:type="dxa"/>
            <w:gridSpan w:val="2"/>
          </w:tcPr>
          <w:p>
            <w:pPr>
              <w:pStyle w:val="TableParagraph"/>
              <w:spacing w:line="222" w:lineRule="exact"/>
              <w:rPr>
                <w:sz w:val="20"/>
              </w:rPr>
            </w:pPr>
            <w:r>
              <w:rPr>
                <w:sz w:val="20"/>
              </w:rPr>
              <w:t>Clauza 9 - Acces pe Şantier</w:t>
            </w:r>
          </w:p>
        </w:tc>
      </w:tr>
      <w:tr>
        <w:trPr>
          <w:trHeight w:val="1355"/>
        </w:trPr>
        <w:tc>
          <w:tcPr>
            <w:tcW w:w="1800" w:type="dxa"/>
          </w:tcPr>
          <w:p>
            <w:pPr>
              <w:pStyle w:val="TableParagraph"/>
              <w:rPr>
                <w:sz w:val="20"/>
              </w:rPr>
            </w:pPr>
            <w:r>
              <w:rPr>
                <w:sz w:val="20"/>
              </w:rPr>
              <w:t>9.1</w:t>
            </w:r>
          </w:p>
        </w:tc>
        <w:tc>
          <w:tcPr>
            <w:tcW w:w="7277" w:type="dxa"/>
          </w:tcPr>
          <w:p>
            <w:pPr>
              <w:pStyle w:val="TableParagraph"/>
              <w:spacing w:line="261" w:lineRule="auto"/>
              <w:ind w:right="981" w:hanging="1"/>
              <w:rPr>
                <w:sz w:val="20"/>
              </w:rPr>
            </w:pPr>
            <w:r>
              <w:rPr>
                <w:sz w:val="20"/>
              </w:rPr>
              <w:t>termene şi sectoare pentru punerea la dispoziţie a Şantierului Sector 1 - Staţia de transfer</w:t>
            </w:r>
          </w:p>
          <w:p>
            <w:pPr>
              <w:pStyle w:val="TableParagraph"/>
              <w:spacing w:before="12" w:line="276" w:lineRule="auto"/>
              <w:ind w:right="2846"/>
              <w:rPr>
                <w:sz w:val="20"/>
              </w:rPr>
            </w:pPr>
            <w:r>
              <w:rPr>
                <w:sz w:val="20"/>
              </w:rPr>
              <w:t>Sector 2 - Staţia de tratare mecanica Sector 3 - Staţia de digestie anaeroba</w:t>
            </w:r>
          </w:p>
          <w:p>
            <w:pPr>
              <w:pStyle w:val="TableParagraph"/>
              <w:spacing w:line="234" w:lineRule="exact"/>
              <w:rPr>
                <w:sz w:val="20"/>
              </w:rPr>
            </w:pPr>
            <w:r>
              <w:rPr>
                <w:sz w:val="20"/>
              </w:rPr>
              <w:t>Sector 4 - Staţia de compostare a digestatului</w:t>
            </w:r>
          </w:p>
        </w:tc>
      </w:tr>
      <w:tr>
        <w:trPr>
          <w:trHeight w:val="2797"/>
        </w:trPr>
        <w:tc>
          <w:tcPr>
            <w:tcW w:w="1800" w:type="dxa"/>
          </w:tcPr>
          <w:p>
            <w:pPr>
              <w:pStyle w:val="TableParagraph"/>
              <w:rPr>
                <w:sz w:val="20"/>
              </w:rPr>
            </w:pPr>
            <w:r>
              <w:rPr>
                <w:sz w:val="20"/>
              </w:rPr>
              <w:t>9.2</w:t>
            </w:r>
          </w:p>
        </w:tc>
        <w:tc>
          <w:tcPr>
            <w:tcW w:w="7277" w:type="dxa"/>
          </w:tcPr>
          <w:p>
            <w:pPr>
              <w:pStyle w:val="TableParagraph"/>
              <w:rPr>
                <w:sz w:val="20"/>
              </w:rPr>
            </w:pPr>
            <w:r>
              <w:rPr>
                <w:sz w:val="20"/>
              </w:rPr>
              <w:t>accesul pe Santier a altor persoane:</w:t>
            </w:r>
          </w:p>
          <w:p>
            <w:pPr>
              <w:pStyle w:val="TableParagraph"/>
              <w:spacing w:before="1"/>
              <w:ind w:left="0"/>
              <w:rPr>
                <w:sz w:val="20"/>
              </w:rPr>
            </w:pPr>
          </w:p>
          <w:p>
            <w:pPr>
              <w:pStyle w:val="TableParagraph"/>
              <w:spacing w:line="234" w:lineRule="exact"/>
              <w:rPr>
                <w:sz w:val="20"/>
              </w:rPr>
            </w:pPr>
            <w:r>
              <w:rPr>
                <w:sz w:val="20"/>
              </w:rPr>
              <w:t>Conţinutul sub-clauzei 9.2 se modifică după cum urmează:</w:t>
            </w:r>
          </w:p>
          <w:p>
            <w:pPr>
              <w:pStyle w:val="TableParagraph"/>
              <w:tabs>
                <w:tab w:val="left" w:pos="1640"/>
                <w:tab w:val="left" w:pos="3069"/>
                <w:tab w:val="left" w:pos="4422"/>
              </w:tabs>
              <w:spacing w:before="1" w:line="228" w:lineRule="auto"/>
              <w:ind w:right="59" w:firstLine="19"/>
              <w:rPr>
                <w:i/>
                <w:sz w:val="20"/>
              </w:rPr>
            </w:pPr>
            <w:r>
              <w:rPr>
                <w:i/>
                <w:sz w:val="20"/>
              </w:rPr>
              <w:t>"9.2. Antreprenorul va asigura acces corespunzător pe Şantier altor persoane conform instrucţiunilor Supervizorului. Antreprenorul va asigura, de asemenea, acces corespunzător pe Şantier pentru Personalul Beneficiarului, reprezentanţii autorităţilor locale, reprezentanţii</w:t>
            </w:r>
            <w:r>
              <w:rPr>
                <w:i/>
                <w:sz w:val="20"/>
              </w:rPr>
              <w:tab/>
              <w:t>deţinătorilor</w:t>
            </w:r>
            <w:r>
              <w:rPr>
                <w:i/>
                <w:sz w:val="20"/>
              </w:rPr>
              <w:tab/>
              <w:t xml:space="preserve">de </w:t>
            </w:r>
            <w:r>
              <w:rPr>
                <w:i/>
                <w:spacing w:val="61"/>
                <w:sz w:val="20"/>
              </w:rPr>
              <w:t xml:space="preserve"> </w:t>
            </w:r>
            <w:r>
              <w:rPr>
                <w:i/>
                <w:sz w:val="20"/>
              </w:rPr>
              <w:t>utilităţi</w:t>
            </w:r>
            <w:r>
              <w:rPr>
                <w:i/>
                <w:sz w:val="20"/>
              </w:rPr>
              <w:tab/>
              <w:t>publice, reprezentanţii Asistenţei Tehnice pentru Managementul Proiectului, ai Autorităţii de Management POIM (Direcţia Implementare Proiecte, Direcţia</w:t>
            </w:r>
            <w:r>
              <w:rPr>
                <w:i/>
                <w:spacing w:val="-20"/>
                <w:sz w:val="20"/>
              </w:rPr>
              <w:t xml:space="preserve"> </w:t>
            </w:r>
            <w:r>
              <w:rPr>
                <w:i/>
                <w:sz w:val="20"/>
              </w:rPr>
              <w:t>Regională</w:t>
            </w:r>
          </w:p>
          <w:p>
            <w:pPr>
              <w:pStyle w:val="TableParagraph"/>
              <w:spacing w:before="3" w:line="228" w:lineRule="exact"/>
              <w:ind w:right="347"/>
              <w:rPr>
                <w:i/>
                <w:sz w:val="20"/>
              </w:rPr>
            </w:pPr>
            <w:r>
              <w:rPr>
                <w:i/>
                <w:sz w:val="20"/>
              </w:rPr>
              <w:t>Infrastructură Piteşti, etc.), ai Inspectoratului de Stat în Construcţii, autorităţilor de audit şi control."</w:t>
            </w:r>
          </w:p>
        </w:tc>
      </w:tr>
      <w:tr>
        <w:trPr>
          <w:trHeight w:val="244"/>
        </w:trPr>
        <w:tc>
          <w:tcPr>
            <w:tcW w:w="9077" w:type="dxa"/>
            <w:gridSpan w:val="2"/>
          </w:tcPr>
          <w:p>
            <w:pPr>
              <w:pStyle w:val="TableParagraph"/>
              <w:spacing w:before="2" w:line="222" w:lineRule="exact"/>
              <w:rPr>
                <w:sz w:val="20"/>
              </w:rPr>
            </w:pPr>
            <w:r>
              <w:rPr>
                <w:sz w:val="20"/>
              </w:rPr>
              <w:t>Clauza 10 - Autorizaţii şi asistenţă privind Legea</w:t>
            </w:r>
          </w:p>
        </w:tc>
      </w:tr>
      <w:tr>
        <w:trPr>
          <w:trHeight w:val="4780"/>
        </w:trPr>
        <w:tc>
          <w:tcPr>
            <w:tcW w:w="1800" w:type="dxa"/>
          </w:tcPr>
          <w:p>
            <w:pPr>
              <w:pStyle w:val="TableParagraph"/>
              <w:rPr>
                <w:sz w:val="20"/>
              </w:rPr>
            </w:pPr>
            <w:r>
              <w:rPr>
                <w:sz w:val="20"/>
              </w:rPr>
              <w:t>10.1</w:t>
            </w:r>
          </w:p>
        </w:tc>
        <w:tc>
          <w:tcPr>
            <w:tcW w:w="7277" w:type="dxa"/>
          </w:tcPr>
          <w:p>
            <w:pPr>
              <w:pStyle w:val="TableParagraph"/>
              <w:rPr>
                <w:sz w:val="20"/>
              </w:rPr>
            </w:pPr>
            <w:r>
              <w:rPr>
                <w:sz w:val="20"/>
              </w:rPr>
              <w:t>responsabilităţi privind autorizaţiile de construire şi de operare:</w:t>
            </w:r>
          </w:p>
          <w:p>
            <w:pPr>
              <w:pStyle w:val="TableParagraph"/>
              <w:spacing w:before="5"/>
              <w:ind w:left="0"/>
              <w:rPr>
                <w:sz w:val="19"/>
              </w:rPr>
            </w:pPr>
          </w:p>
          <w:p>
            <w:pPr>
              <w:pStyle w:val="TableParagraph"/>
              <w:spacing w:before="1" w:line="223" w:lineRule="auto"/>
              <w:ind w:right="360"/>
              <w:rPr>
                <w:sz w:val="20"/>
              </w:rPr>
            </w:pPr>
            <w:r>
              <w:rPr>
                <w:sz w:val="20"/>
              </w:rPr>
              <w:t>Conţinutul sub-paragrafului (a) din subclauza 10.1 se modifică şi va avea următorul conţinut:</w:t>
            </w:r>
          </w:p>
          <w:p>
            <w:pPr>
              <w:pStyle w:val="TableParagraph"/>
              <w:spacing w:line="223" w:lineRule="auto"/>
              <w:ind w:right="54" w:firstLine="14"/>
              <w:rPr>
                <w:i/>
                <w:sz w:val="20"/>
              </w:rPr>
            </w:pPr>
            <w:r>
              <w:rPr>
                <w:i/>
                <w:sz w:val="20"/>
              </w:rPr>
              <w:t>"(a) Beneficiarul a obţinut (sau va obţine) certificatul de urbanism şi actul de reglementare în domeniul mediului. Beneficiarul va despăgubi Antreprenorul şi îl va proteja împotriva consecinţelor datorate eşecului în obţinerea acestor certificate şi aprobări. Antreprenorul va întocmi documentaţia necesară pentru a obţine orice alte acorduri / avize / autorizaţii pentru Lucrările Permanente (şi orice alte aprobări) descrise în Certificatul de Urbanism şi în Cerinţele Beneficiarului. Antreprenorul va despăgubi Beneficiarul şi îl va proteja împotriva consecinţelor datorate eşecului în obţinerea acestor acorduri / avize / autorizaţii şi aprobări. În cazul în care perioada (perioadele) de valabilitate a autorizaţiei (autorizaţiilor) de construire se depăşeşte (depăşesc) din cauze imputabile Antreprenorului, Beneficiarul îi poate solicita să întocmească toate documentele necesare pentru prelungirea valabilităţii sau obţinerea unei noi autorizaţii. Antreprenorul va întocmi aceste documente şi le va transmite Beneficiarului conform</w:t>
            </w:r>
          </w:p>
          <w:p>
            <w:pPr>
              <w:pStyle w:val="TableParagraph"/>
              <w:spacing w:before="5" w:line="226" w:lineRule="exact"/>
              <w:ind w:right="515"/>
              <w:rPr>
                <w:i/>
                <w:sz w:val="20"/>
              </w:rPr>
            </w:pPr>
            <w:r>
              <w:rPr>
                <w:i/>
                <w:sz w:val="20"/>
              </w:rPr>
              <w:t>instrucţiunilor Supervizorului, în mod prompt, astfel încât să nu se perturbe drumul (drumurile) critic (critice)".</w:t>
            </w:r>
          </w:p>
        </w:tc>
      </w:tr>
      <w:tr>
        <w:trPr>
          <w:trHeight w:val="690"/>
        </w:trPr>
        <w:tc>
          <w:tcPr>
            <w:tcW w:w="1800" w:type="dxa"/>
          </w:tcPr>
          <w:p>
            <w:pPr>
              <w:pStyle w:val="TableParagraph"/>
              <w:ind w:left="0"/>
              <w:rPr>
                <w:rFonts w:ascii="Times New Roman"/>
                <w:sz w:val="18"/>
              </w:rPr>
            </w:pPr>
          </w:p>
        </w:tc>
        <w:tc>
          <w:tcPr>
            <w:tcW w:w="7277" w:type="dxa"/>
          </w:tcPr>
          <w:p>
            <w:pPr>
              <w:pStyle w:val="TableParagraph"/>
              <w:spacing w:line="228" w:lineRule="auto"/>
              <w:ind w:right="215" w:firstLine="9"/>
              <w:rPr>
                <w:sz w:val="20"/>
              </w:rPr>
            </w:pPr>
            <w:r>
              <w:rPr>
                <w:sz w:val="20"/>
              </w:rPr>
              <w:t>După sub-paragraful (c) din subclauza 10.1 se introduce un nou sub- paragraf suplimentar (d) cu următorul conţinut:</w:t>
            </w:r>
          </w:p>
        </w:tc>
      </w:tr>
    </w:tbl>
    <w:p>
      <w:pPr>
        <w:spacing w:line="228" w:lineRule="auto"/>
        <w:rPr>
          <w:sz w:val="20"/>
        </w:rPr>
        <w:sectPr>
          <w:footerReference w:type="default" r:id="rId8"/>
          <w:pgSz w:w="11910" w:h="16840"/>
          <w:pgMar w:top="1580" w:right="960" w:bottom="860" w:left="1580" w:header="284" w:footer="675" w:gutter="0"/>
          <w:pgNumType w:start="394"/>
          <w:cols w:space="720"/>
        </w:sectPr>
      </w:pPr>
    </w:p>
    <w:p>
      <w:pPr>
        <w:rPr>
          <w:sz w:val="20"/>
        </w:rPr>
      </w:pPr>
    </w:p>
    <w:p>
      <w:pPr>
        <w:spacing w:before="12"/>
        <w:rPr>
          <w:sz w:val="27"/>
        </w:rPr>
      </w:pPr>
    </w:p>
    <w:tbl>
      <w:tblPr>
        <w:tblW w:w="0" w:type="auto"/>
        <w:tblInd w:w="1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0"/>
        <w:gridCol w:w="7277"/>
      </w:tblGrid>
      <w:tr>
        <w:trPr>
          <w:trHeight w:val="1609"/>
        </w:trPr>
        <w:tc>
          <w:tcPr>
            <w:tcW w:w="1800" w:type="dxa"/>
          </w:tcPr>
          <w:p>
            <w:pPr>
              <w:pStyle w:val="TableParagraph"/>
              <w:ind w:left="0"/>
              <w:rPr>
                <w:rFonts w:ascii="Times New Roman"/>
                <w:sz w:val="18"/>
              </w:rPr>
            </w:pPr>
          </w:p>
        </w:tc>
        <w:tc>
          <w:tcPr>
            <w:tcW w:w="7277" w:type="dxa"/>
          </w:tcPr>
          <w:p>
            <w:pPr>
              <w:pStyle w:val="TableParagraph"/>
              <w:spacing w:line="228" w:lineRule="auto"/>
              <w:ind w:right="58" w:firstLine="19"/>
              <w:rPr>
                <w:i/>
                <w:sz w:val="20"/>
              </w:rPr>
            </w:pPr>
            <w:r>
              <w:rPr>
                <w:i/>
                <w:sz w:val="20"/>
              </w:rPr>
              <w:t>"(d) Antreprenorul va întocmi orice documentaţii prevăzute în Cerinţele Beneficiarului şi/sau dispuse prin instrucţiunile Supervizorului şi/sau necesare obţinerii oricăror aprobări, acorduri şi autorizaţii necesare executării Lucrărilor Permanente, precum cele de trafic, de intervenţie în drumurile publice, de deviere a utilităţilor existente,</w:t>
            </w:r>
            <w:r>
              <w:rPr>
                <w:i/>
                <w:spacing w:val="-16"/>
                <w:sz w:val="20"/>
              </w:rPr>
              <w:t xml:space="preserve"> </w:t>
            </w:r>
            <w:r>
              <w:rPr>
                <w:i/>
                <w:sz w:val="20"/>
              </w:rPr>
              <w:t>de</w:t>
            </w:r>
          </w:p>
          <w:p>
            <w:pPr>
              <w:pStyle w:val="TableParagraph"/>
              <w:spacing w:line="230" w:lineRule="exact"/>
              <w:ind w:right="343"/>
              <w:rPr>
                <w:i/>
                <w:sz w:val="20"/>
              </w:rPr>
            </w:pPr>
            <w:r>
              <w:rPr>
                <w:i/>
                <w:sz w:val="20"/>
              </w:rPr>
              <w:t>racordare la energie electrică şi alte utilităţi, sau orice alte aprobări, acorduri şi autorizaţii similare."</w:t>
            </w:r>
          </w:p>
        </w:tc>
      </w:tr>
      <w:tr>
        <w:trPr>
          <w:trHeight w:val="236"/>
        </w:trPr>
        <w:tc>
          <w:tcPr>
            <w:tcW w:w="9077" w:type="dxa"/>
            <w:gridSpan w:val="2"/>
          </w:tcPr>
          <w:p>
            <w:pPr>
              <w:pStyle w:val="TableParagraph"/>
              <w:spacing w:line="217" w:lineRule="exact"/>
              <w:rPr>
                <w:sz w:val="20"/>
              </w:rPr>
            </w:pPr>
            <w:r>
              <w:rPr>
                <w:sz w:val="20"/>
              </w:rPr>
              <w:t>Clauza 10a - Delegarea gestiunii Serviciilor de Operare</w:t>
            </w:r>
          </w:p>
        </w:tc>
      </w:tr>
      <w:tr>
        <w:trPr>
          <w:trHeight w:val="822"/>
        </w:trPr>
        <w:tc>
          <w:tcPr>
            <w:tcW w:w="1800" w:type="dxa"/>
          </w:tcPr>
          <w:p>
            <w:pPr>
              <w:pStyle w:val="TableParagraph"/>
              <w:spacing w:before="2"/>
              <w:rPr>
                <w:sz w:val="20"/>
              </w:rPr>
            </w:pPr>
            <w:r>
              <w:rPr>
                <w:sz w:val="20"/>
              </w:rPr>
              <w:t>10a.8</w:t>
            </w:r>
          </w:p>
        </w:tc>
        <w:tc>
          <w:tcPr>
            <w:tcW w:w="7277" w:type="dxa"/>
          </w:tcPr>
          <w:p>
            <w:pPr>
              <w:pStyle w:val="TableParagraph"/>
              <w:spacing w:before="1" w:line="274" w:lineRule="exact"/>
              <w:ind w:left="50" w:right="26" w:hanging="10"/>
              <w:rPr>
                <w:sz w:val="20"/>
              </w:rPr>
            </w:pPr>
            <w:r>
              <w:rPr>
                <w:sz w:val="20"/>
              </w:rPr>
              <w:t>Încheierea de contracte cu Operatorul Centrului de Management Integrat al Deşeurilor de la Valea Marului in vederea eliminarii la depozitul conform, în conformitate cu prevederile Fluxului Deşeurilor</w:t>
            </w:r>
          </w:p>
        </w:tc>
      </w:tr>
      <w:tr>
        <w:trPr>
          <w:trHeight w:val="4353"/>
        </w:trPr>
        <w:tc>
          <w:tcPr>
            <w:tcW w:w="9077" w:type="dxa"/>
            <w:gridSpan w:val="2"/>
          </w:tcPr>
          <w:p>
            <w:pPr>
              <w:pStyle w:val="TableParagraph"/>
              <w:jc w:val="both"/>
              <w:rPr>
                <w:sz w:val="20"/>
              </w:rPr>
            </w:pPr>
            <w:r>
              <w:rPr>
                <w:sz w:val="20"/>
              </w:rPr>
              <w:t>Subclauza se modifică, după cum urmează:</w:t>
            </w:r>
          </w:p>
          <w:p>
            <w:pPr>
              <w:pStyle w:val="TableParagraph"/>
              <w:spacing w:before="18" w:line="271" w:lineRule="auto"/>
              <w:ind w:right="22"/>
              <w:jc w:val="both"/>
              <w:rPr>
                <w:i/>
                <w:sz w:val="20"/>
              </w:rPr>
            </w:pPr>
            <w:r>
              <w:rPr>
                <w:i/>
                <w:sz w:val="20"/>
              </w:rPr>
              <w:t>”Antreprenorul va primi la Facilitate numai Deşeurile provenite din Aria de Delegare,</w:t>
            </w:r>
            <w:r>
              <w:rPr>
                <w:i/>
                <w:spacing w:val="-36"/>
                <w:sz w:val="20"/>
              </w:rPr>
              <w:t xml:space="preserve"> </w:t>
            </w:r>
            <w:r>
              <w:rPr>
                <w:i/>
                <w:sz w:val="20"/>
              </w:rPr>
              <w:t>care sunt predate de Operatorii de Salubrizare, în conformitate cu Fluxul Deşeurilor, şi care respectă condiţiile stabilite prin procedurile de acceptare a deşeurilor elaborate de Beneficiarul</w:t>
            </w:r>
            <w:r>
              <w:rPr>
                <w:i/>
                <w:spacing w:val="-1"/>
                <w:sz w:val="20"/>
              </w:rPr>
              <w:t xml:space="preserve"> </w:t>
            </w:r>
            <w:r>
              <w:rPr>
                <w:i/>
                <w:sz w:val="20"/>
              </w:rPr>
              <w:t>Asociaţia.</w:t>
            </w:r>
          </w:p>
          <w:p>
            <w:pPr>
              <w:pStyle w:val="TableParagraph"/>
              <w:spacing w:line="271" w:lineRule="auto"/>
              <w:ind w:right="24"/>
              <w:jc w:val="both"/>
              <w:rPr>
                <w:i/>
                <w:sz w:val="20"/>
              </w:rPr>
            </w:pPr>
            <w:r>
              <w:rPr>
                <w:i/>
                <w:sz w:val="20"/>
              </w:rPr>
              <w:t>Raporturile dintre operatorii de salubritate sunt gestionate prin intermediul Asociației ADIECOSERV, prin contractele de delegare încheiate cu fiecare operator.</w:t>
            </w:r>
          </w:p>
          <w:p>
            <w:pPr>
              <w:pStyle w:val="TableParagraph"/>
              <w:spacing w:line="271" w:lineRule="auto"/>
              <w:ind w:right="21"/>
              <w:jc w:val="both"/>
              <w:rPr>
                <w:i/>
                <w:sz w:val="20"/>
              </w:rPr>
            </w:pPr>
            <w:r>
              <w:rPr>
                <w:i/>
                <w:sz w:val="20"/>
              </w:rPr>
              <w:t>Beneficiarul Asociația va achita Operatorului de Salubrizare care gestionează Depozitul contravaloarea tarifului de depozitare, precum şi contravaloarea Contribuţiei pentru Economia Circulară aferente cantităţilor de Deşeuri predate pentru a fi eliminate prin depozitare.</w:t>
            </w:r>
          </w:p>
          <w:p>
            <w:pPr>
              <w:pStyle w:val="TableParagraph"/>
              <w:spacing w:line="271" w:lineRule="auto"/>
              <w:ind w:right="22" w:firstLine="101"/>
              <w:jc w:val="both"/>
              <w:rPr>
                <w:i/>
                <w:sz w:val="20"/>
              </w:rPr>
            </w:pPr>
            <w:r>
              <w:rPr>
                <w:i/>
                <w:sz w:val="20"/>
              </w:rPr>
              <w:t>În cazul neîndeplinirii indicatorilor de performanță, costul corespunzător tarifului de depozitare</w:t>
            </w:r>
            <w:r>
              <w:rPr>
                <w:i/>
                <w:spacing w:val="-19"/>
                <w:sz w:val="20"/>
              </w:rPr>
              <w:t xml:space="preserve"> </w:t>
            </w:r>
            <w:r>
              <w:rPr>
                <w:i/>
                <w:sz w:val="20"/>
              </w:rPr>
              <w:t>și</w:t>
            </w:r>
            <w:r>
              <w:rPr>
                <w:i/>
                <w:spacing w:val="-17"/>
                <w:sz w:val="20"/>
              </w:rPr>
              <w:t xml:space="preserve"> </w:t>
            </w:r>
            <w:r>
              <w:rPr>
                <w:i/>
                <w:sz w:val="20"/>
              </w:rPr>
              <w:t>a</w:t>
            </w:r>
            <w:r>
              <w:rPr>
                <w:i/>
                <w:spacing w:val="-15"/>
                <w:sz w:val="20"/>
              </w:rPr>
              <w:t xml:space="preserve"> </w:t>
            </w:r>
            <w:r>
              <w:rPr>
                <w:i/>
                <w:sz w:val="20"/>
              </w:rPr>
              <w:t>contribuției</w:t>
            </w:r>
            <w:r>
              <w:rPr>
                <w:i/>
                <w:spacing w:val="-18"/>
                <w:sz w:val="20"/>
              </w:rPr>
              <w:t xml:space="preserve"> </w:t>
            </w:r>
            <w:r>
              <w:rPr>
                <w:i/>
                <w:sz w:val="20"/>
              </w:rPr>
              <w:t>la</w:t>
            </w:r>
            <w:r>
              <w:rPr>
                <w:i/>
                <w:spacing w:val="-17"/>
                <w:sz w:val="20"/>
              </w:rPr>
              <w:t xml:space="preserve"> </w:t>
            </w:r>
            <w:r>
              <w:rPr>
                <w:i/>
                <w:sz w:val="20"/>
              </w:rPr>
              <w:t>economia</w:t>
            </w:r>
            <w:r>
              <w:rPr>
                <w:i/>
                <w:spacing w:val="-18"/>
                <w:sz w:val="20"/>
              </w:rPr>
              <w:t xml:space="preserve"> </w:t>
            </w:r>
            <w:r>
              <w:rPr>
                <w:i/>
                <w:sz w:val="20"/>
              </w:rPr>
              <w:t>circulară</w:t>
            </w:r>
            <w:r>
              <w:rPr>
                <w:i/>
                <w:spacing w:val="-15"/>
                <w:sz w:val="20"/>
              </w:rPr>
              <w:t xml:space="preserve"> </w:t>
            </w:r>
            <w:r>
              <w:rPr>
                <w:i/>
                <w:sz w:val="20"/>
              </w:rPr>
              <w:t>aferent</w:t>
            </w:r>
            <w:r>
              <w:rPr>
                <w:i/>
                <w:spacing w:val="-19"/>
                <w:sz w:val="20"/>
              </w:rPr>
              <w:t xml:space="preserve"> </w:t>
            </w:r>
            <w:r>
              <w:rPr>
                <w:i/>
                <w:sz w:val="20"/>
              </w:rPr>
              <w:t>cantităților</w:t>
            </w:r>
            <w:r>
              <w:rPr>
                <w:i/>
                <w:spacing w:val="-16"/>
                <w:sz w:val="20"/>
              </w:rPr>
              <w:t xml:space="preserve"> </w:t>
            </w:r>
            <w:r>
              <w:rPr>
                <w:i/>
                <w:sz w:val="20"/>
              </w:rPr>
              <w:t>ce</w:t>
            </w:r>
            <w:r>
              <w:rPr>
                <w:i/>
                <w:spacing w:val="-19"/>
                <w:sz w:val="20"/>
              </w:rPr>
              <w:t xml:space="preserve"> </w:t>
            </w:r>
            <w:r>
              <w:rPr>
                <w:i/>
                <w:sz w:val="20"/>
              </w:rPr>
              <w:t>depășesc</w:t>
            </w:r>
            <w:r>
              <w:rPr>
                <w:i/>
                <w:spacing w:val="-17"/>
                <w:sz w:val="20"/>
              </w:rPr>
              <w:t xml:space="preserve"> </w:t>
            </w:r>
            <w:r>
              <w:rPr>
                <w:i/>
                <w:sz w:val="20"/>
              </w:rPr>
              <w:t>cantitățile prevăzute prin indicatori este determinat de către Beneficiarul Asociația conform reglementărilor</w:t>
            </w:r>
            <w:r>
              <w:rPr>
                <w:i/>
                <w:spacing w:val="18"/>
                <w:sz w:val="20"/>
              </w:rPr>
              <w:t xml:space="preserve"> </w:t>
            </w:r>
            <w:r>
              <w:rPr>
                <w:i/>
                <w:sz w:val="20"/>
              </w:rPr>
              <w:t>în</w:t>
            </w:r>
            <w:r>
              <w:rPr>
                <w:i/>
                <w:spacing w:val="22"/>
                <w:sz w:val="20"/>
              </w:rPr>
              <w:t xml:space="preserve"> </w:t>
            </w:r>
            <w:r>
              <w:rPr>
                <w:i/>
                <w:sz w:val="20"/>
              </w:rPr>
              <w:t>vigoare</w:t>
            </w:r>
            <w:r>
              <w:rPr>
                <w:i/>
                <w:spacing w:val="19"/>
                <w:sz w:val="20"/>
              </w:rPr>
              <w:t xml:space="preserve"> </w:t>
            </w:r>
            <w:r>
              <w:rPr>
                <w:i/>
                <w:sz w:val="20"/>
              </w:rPr>
              <w:t>și</w:t>
            </w:r>
            <w:r>
              <w:rPr>
                <w:i/>
                <w:spacing w:val="21"/>
                <w:sz w:val="20"/>
              </w:rPr>
              <w:t xml:space="preserve"> </w:t>
            </w:r>
            <w:r>
              <w:rPr>
                <w:i/>
                <w:sz w:val="20"/>
              </w:rPr>
              <w:t>scăzut</w:t>
            </w:r>
            <w:r>
              <w:rPr>
                <w:i/>
                <w:spacing w:val="20"/>
                <w:sz w:val="20"/>
              </w:rPr>
              <w:t xml:space="preserve"> </w:t>
            </w:r>
            <w:r>
              <w:rPr>
                <w:i/>
                <w:sz w:val="20"/>
              </w:rPr>
              <w:t>din</w:t>
            </w:r>
            <w:r>
              <w:rPr>
                <w:i/>
                <w:spacing w:val="20"/>
                <w:sz w:val="20"/>
              </w:rPr>
              <w:t xml:space="preserve"> </w:t>
            </w:r>
            <w:r>
              <w:rPr>
                <w:i/>
                <w:sz w:val="20"/>
              </w:rPr>
              <w:t>factura</w:t>
            </w:r>
            <w:r>
              <w:rPr>
                <w:i/>
                <w:spacing w:val="23"/>
                <w:sz w:val="20"/>
              </w:rPr>
              <w:t xml:space="preserve"> </w:t>
            </w:r>
            <w:r>
              <w:rPr>
                <w:i/>
                <w:sz w:val="20"/>
              </w:rPr>
              <w:t>Antreprenorului</w:t>
            </w:r>
            <w:r>
              <w:rPr>
                <w:i/>
                <w:spacing w:val="22"/>
                <w:sz w:val="20"/>
              </w:rPr>
              <w:t xml:space="preserve"> </w:t>
            </w:r>
            <w:r>
              <w:rPr>
                <w:i/>
                <w:sz w:val="20"/>
              </w:rPr>
              <w:t>sub</w:t>
            </w:r>
            <w:r>
              <w:rPr>
                <w:i/>
                <w:spacing w:val="21"/>
                <w:sz w:val="20"/>
              </w:rPr>
              <w:t xml:space="preserve"> </w:t>
            </w:r>
            <w:r>
              <w:rPr>
                <w:i/>
                <w:sz w:val="20"/>
              </w:rPr>
              <w:t>formă</w:t>
            </w:r>
            <w:r>
              <w:rPr>
                <w:i/>
                <w:spacing w:val="19"/>
                <w:sz w:val="20"/>
              </w:rPr>
              <w:t xml:space="preserve"> </w:t>
            </w:r>
            <w:r>
              <w:rPr>
                <w:i/>
                <w:sz w:val="20"/>
              </w:rPr>
              <w:t>de</w:t>
            </w:r>
            <w:r>
              <w:rPr>
                <w:i/>
                <w:spacing w:val="19"/>
                <w:sz w:val="20"/>
              </w:rPr>
              <w:t xml:space="preserve"> </w:t>
            </w:r>
            <w:r>
              <w:rPr>
                <w:i/>
                <w:sz w:val="20"/>
              </w:rPr>
              <w:t>penalități</w:t>
            </w:r>
          </w:p>
          <w:p>
            <w:pPr>
              <w:pStyle w:val="TableParagraph"/>
              <w:spacing w:line="234" w:lineRule="exact"/>
              <w:jc w:val="both"/>
              <w:rPr>
                <w:i/>
                <w:sz w:val="20"/>
              </w:rPr>
            </w:pPr>
            <w:r>
              <w:rPr>
                <w:i/>
                <w:sz w:val="20"/>
              </w:rPr>
              <w:t>pentru neîndeplinirea indicatorilor de performanță.”</w:t>
            </w:r>
          </w:p>
        </w:tc>
      </w:tr>
      <w:tr>
        <w:trPr>
          <w:trHeight w:val="244"/>
        </w:trPr>
        <w:tc>
          <w:tcPr>
            <w:tcW w:w="1800" w:type="dxa"/>
          </w:tcPr>
          <w:p>
            <w:pPr>
              <w:pStyle w:val="TableParagraph"/>
              <w:spacing w:line="224" w:lineRule="exact"/>
              <w:rPr>
                <w:sz w:val="20"/>
              </w:rPr>
            </w:pPr>
            <w:r>
              <w:rPr>
                <w:sz w:val="20"/>
              </w:rPr>
              <w:t>10a.11</w:t>
            </w:r>
          </w:p>
        </w:tc>
        <w:tc>
          <w:tcPr>
            <w:tcW w:w="7277" w:type="dxa"/>
          </w:tcPr>
          <w:p>
            <w:pPr>
              <w:pStyle w:val="TableParagraph"/>
              <w:spacing w:line="224" w:lineRule="exact"/>
              <w:ind w:left="39"/>
              <w:rPr>
                <w:sz w:val="20"/>
              </w:rPr>
            </w:pPr>
            <w:r>
              <w:rPr>
                <w:sz w:val="20"/>
              </w:rPr>
              <w:t>Redevenţa</w:t>
            </w:r>
          </w:p>
        </w:tc>
      </w:tr>
      <w:tr>
        <w:trPr>
          <w:trHeight w:val="241"/>
        </w:trPr>
        <w:tc>
          <w:tcPr>
            <w:tcW w:w="9077" w:type="dxa"/>
            <w:gridSpan w:val="2"/>
          </w:tcPr>
          <w:p>
            <w:pPr>
              <w:pStyle w:val="TableParagraph"/>
              <w:spacing w:line="222" w:lineRule="exact"/>
              <w:rPr>
                <w:sz w:val="20"/>
              </w:rPr>
            </w:pPr>
            <w:r>
              <w:rPr>
                <w:sz w:val="20"/>
              </w:rPr>
              <w:t>Clauza 18 - Structura detaliată a preţului</w:t>
            </w:r>
          </w:p>
        </w:tc>
      </w:tr>
      <w:tr>
        <w:trPr>
          <w:trHeight w:val="244"/>
        </w:trPr>
        <w:tc>
          <w:tcPr>
            <w:tcW w:w="1800" w:type="dxa"/>
          </w:tcPr>
          <w:p>
            <w:pPr>
              <w:pStyle w:val="TableParagraph"/>
              <w:spacing w:line="224" w:lineRule="exact"/>
              <w:rPr>
                <w:sz w:val="20"/>
              </w:rPr>
            </w:pPr>
            <w:r>
              <w:rPr>
                <w:sz w:val="20"/>
              </w:rPr>
              <w:t>18.2</w:t>
            </w:r>
          </w:p>
        </w:tc>
        <w:tc>
          <w:tcPr>
            <w:tcW w:w="7277" w:type="dxa"/>
          </w:tcPr>
          <w:p>
            <w:pPr>
              <w:pStyle w:val="TableParagraph"/>
              <w:spacing w:line="224" w:lineRule="exact"/>
              <w:rPr>
                <w:sz w:val="20"/>
              </w:rPr>
            </w:pPr>
            <w:r>
              <w:rPr>
                <w:sz w:val="20"/>
              </w:rPr>
              <w:t>conţinutul Formularului de Ofertă - Preţul Serviciilor de Operare</w:t>
            </w:r>
          </w:p>
        </w:tc>
      </w:tr>
      <w:tr>
        <w:trPr>
          <w:trHeight w:val="2982"/>
        </w:trPr>
        <w:tc>
          <w:tcPr>
            <w:tcW w:w="9077" w:type="dxa"/>
            <w:gridSpan w:val="2"/>
          </w:tcPr>
          <w:p>
            <w:pPr>
              <w:pStyle w:val="TableParagraph"/>
              <w:rPr>
                <w:sz w:val="20"/>
              </w:rPr>
            </w:pPr>
            <w:r>
              <w:rPr>
                <w:sz w:val="20"/>
              </w:rPr>
              <w:t>La sfârşitul subclauzei se adaugă următorul alineat:</w:t>
            </w:r>
          </w:p>
          <w:p>
            <w:pPr>
              <w:pStyle w:val="TableParagraph"/>
              <w:spacing w:before="16" w:line="271" w:lineRule="auto"/>
              <w:rPr>
                <w:i/>
                <w:sz w:val="20"/>
              </w:rPr>
            </w:pPr>
            <w:r>
              <w:rPr>
                <w:i/>
                <w:sz w:val="20"/>
              </w:rPr>
              <w:t>”Tarifele ofertate pentru activităţile componente ale Serviciilor de Operare se vor realiza conform fișelor de fundamentare din documentația de atribuire.</w:t>
            </w:r>
          </w:p>
          <w:p>
            <w:pPr>
              <w:pStyle w:val="TableParagraph"/>
              <w:spacing w:line="271" w:lineRule="auto"/>
              <w:rPr>
                <w:i/>
                <w:sz w:val="20"/>
              </w:rPr>
            </w:pPr>
            <w:r>
              <w:rPr>
                <w:i/>
                <w:sz w:val="20"/>
              </w:rPr>
              <w:t>Tarifele</w:t>
            </w:r>
            <w:r>
              <w:rPr>
                <w:i/>
                <w:spacing w:val="-19"/>
                <w:sz w:val="20"/>
              </w:rPr>
              <w:t xml:space="preserve"> </w:t>
            </w:r>
            <w:r>
              <w:rPr>
                <w:i/>
                <w:sz w:val="20"/>
              </w:rPr>
              <w:t>cu</w:t>
            </w:r>
            <w:r>
              <w:rPr>
                <w:i/>
                <w:spacing w:val="-19"/>
                <w:sz w:val="20"/>
              </w:rPr>
              <w:t xml:space="preserve"> </w:t>
            </w:r>
            <w:r>
              <w:rPr>
                <w:i/>
                <w:sz w:val="20"/>
              </w:rPr>
              <w:t>care</w:t>
            </w:r>
            <w:r>
              <w:rPr>
                <w:i/>
                <w:spacing w:val="-22"/>
                <w:sz w:val="20"/>
              </w:rPr>
              <w:t xml:space="preserve"> </w:t>
            </w:r>
            <w:r>
              <w:rPr>
                <w:i/>
                <w:sz w:val="20"/>
              </w:rPr>
              <w:t>se</w:t>
            </w:r>
            <w:r>
              <w:rPr>
                <w:i/>
                <w:spacing w:val="-19"/>
                <w:sz w:val="20"/>
              </w:rPr>
              <w:t xml:space="preserve"> </w:t>
            </w:r>
            <w:r>
              <w:rPr>
                <w:i/>
                <w:sz w:val="20"/>
              </w:rPr>
              <w:t>facturează</w:t>
            </w:r>
            <w:r>
              <w:rPr>
                <w:i/>
                <w:spacing w:val="-18"/>
                <w:sz w:val="20"/>
              </w:rPr>
              <w:t xml:space="preserve"> </w:t>
            </w:r>
            <w:r>
              <w:rPr>
                <w:i/>
                <w:sz w:val="20"/>
              </w:rPr>
              <w:t>prestarea</w:t>
            </w:r>
            <w:r>
              <w:rPr>
                <w:i/>
                <w:spacing w:val="-17"/>
                <w:sz w:val="20"/>
              </w:rPr>
              <w:t xml:space="preserve"> </w:t>
            </w:r>
            <w:r>
              <w:rPr>
                <w:i/>
                <w:sz w:val="20"/>
              </w:rPr>
              <w:t>activității</w:t>
            </w:r>
            <w:r>
              <w:rPr>
                <w:i/>
                <w:spacing w:val="-19"/>
                <w:sz w:val="20"/>
              </w:rPr>
              <w:t xml:space="preserve"> </w:t>
            </w:r>
            <w:r>
              <w:rPr>
                <w:i/>
                <w:sz w:val="20"/>
              </w:rPr>
              <w:t>vor</w:t>
            </w:r>
            <w:r>
              <w:rPr>
                <w:i/>
                <w:spacing w:val="-19"/>
                <w:sz w:val="20"/>
              </w:rPr>
              <w:t xml:space="preserve"> </w:t>
            </w:r>
            <w:r>
              <w:rPr>
                <w:i/>
                <w:sz w:val="20"/>
              </w:rPr>
              <w:t>fi</w:t>
            </w:r>
            <w:r>
              <w:rPr>
                <w:i/>
                <w:spacing w:val="-20"/>
                <w:sz w:val="20"/>
              </w:rPr>
              <w:t xml:space="preserve"> </w:t>
            </w:r>
            <w:r>
              <w:rPr>
                <w:i/>
                <w:sz w:val="20"/>
              </w:rPr>
              <w:t>tarifele</w:t>
            </w:r>
            <w:r>
              <w:rPr>
                <w:i/>
                <w:spacing w:val="-21"/>
                <w:sz w:val="20"/>
              </w:rPr>
              <w:t xml:space="preserve"> </w:t>
            </w:r>
            <w:r>
              <w:rPr>
                <w:i/>
                <w:sz w:val="20"/>
              </w:rPr>
              <w:t>prezentate</w:t>
            </w:r>
            <w:r>
              <w:rPr>
                <w:i/>
                <w:spacing w:val="-19"/>
                <w:sz w:val="20"/>
              </w:rPr>
              <w:t xml:space="preserve"> </w:t>
            </w:r>
            <w:r>
              <w:rPr>
                <w:i/>
                <w:sz w:val="20"/>
              </w:rPr>
              <w:t>în</w:t>
            </w:r>
            <w:r>
              <w:rPr>
                <w:i/>
                <w:spacing w:val="-19"/>
                <w:sz w:val="20"/>
              </w:rPr>
              <w:t xml:space="preserve"> </w:t>
            </w:r>
            <w:r>
              <w:rPr>
                <w:i/>
                <w:sz w:val="20"/>
              </w:rPr>
              <w:t>cadrul</w:t>
            </w:r>
            <w:r>
              <w:rPr>
                <w:i/>
                <w:spacing w:val="-19"/>
                <w:sz w:val="20"/>
              </w:rPr>
              <w:t xml:space="preserve"> </w:t>
            </w:r>
            <w:r>
              <w:rPr>
                <w:i/>
                <w:sz w:val="20"/>
              </w:rPr>
              <w:t>ofertei, în conformitate cu prevederile legale în</w:t>
            </w:r>
            <w:r>
              <w:rPr>
                <w:i/>
                <w:spacing w:val="-1"/>
                <w:sz w:val="20"/>
              </w:rPr>
              <w:t xml:space="preserve"> </w:t>
            </w:r>
            <w:r>
              <w:rPr>
                <w:i/>
                <w:sz w:val="20"/>
              </w:rPr>
              <w:t>vigoare.</w:t>
            </w:r>
          </w:p>
          <w:p>
            <w:pPr>
              <w:pStyle w:val="TableParagraph"/>
              <w:spacing w:line="271" w:lineRule="auto"/>
              <w:rPr>
                <w:i/>
                <w:sz w:val="20"/>
              </w:rPr>
            </w:pPr>
            <w:r>
              <w:rPr>
                <w:i/>
                <w:sz w:val="20"/>
              </w:rPr>
              <w:t>Costul corespunzător tarifului de depozitare și a contribuției la economia circulară</w:t>
            </w:r>
            <w:r>
              <w:rPr>
                <w:i/>
                <w:spacing w:val="-42"/>
                <w:sz w:val="20"/>
              </w:rPr>
              <w:t xml:space="preserve"> </w:t>
            </w:r>
            <w:r>
              <w:rPr>
                <w:i/>
                <w:sz w:val="20"/>
              </w:rPr>
              <w:t>aferent cantităților depozitate care depășesc cantitățile aferente indicatorii de performanță este suportat</w:t>
            </w:r>
            <w:r>
              <w:rPr>
                <w:i/>
                <w:spacing w:val="-10"/>
                <w:sz w:val="20"/>
              </w:rPr>
              <w:t xml:space="preserve"> </w:t>
            </w:r>
            <w:r>
              <w:rPr>
                <w:i/>
                <w:sz w:val="20"/>
              </w:rPr>
              <w:t>de</w:t>
            </w:r>
            <w:r>
              <w:rPr>
                <w:i/>
                <w:spacing w:val="-8"/>
                <w:sz w:val="20"/>
              </w:rPr>
              <w:t xml:space="preserve"> </w:t>
            </w:r>
            <w:r>
              <w:rPr>
                <w:i/>
                <w:sz w:val="20"/>
              </w:rPr>
              <w:t>către</w:t>
            </w:r>
            <w:r>
              <w:rPr>
                <w:i/>
                <w:spacing w:val="-7"/>
                <w:sz w:val="20"/>
              </w:rPr>
              <w:t xml:space="preserve"> </w:t>
            </w:r>
            <w:r>
              <w:rPr>
                <w:i/>
                <w:sz w:val="20"/>
              </w:rPr>
              <w:t>Antreprenor,</w:t>
            </w:r>
            <w:r>
              <w:rPr>
                <w:i/>
                <w:spacing w:val="-8"/>
                <w:sz w:val="20"/>
              </w:rPr>
              <w:t xml:space="preserve"> </w:t>
            </w:r>
            <w:r>
              <w:rPr>
                <w:i/>
                <w:sz w:val="20"/>
              </w:rPr>
              <w:t>fără</w:t>
            </w:r>
            <w:r>
              <w:rPr>
                <w:i/>
                <w:spacing w:val="-8"/>
                <w:sz w:val="20"/>
              </w:rPr>
              <w:t xml:space="preserve"> </w:t>
            </w:r>
            <w:r>
              <w:rPr>
                <w:i/>
                <w:sz w:val="20"/>
              </w:rPr>
              <w:t>a</w:t>
            </w:r>
            <w:r>
              <w:rPr>
                <w:i/>
                <w:spacing w:val="-8"/>
                <w:sz w:val="20"/>
              </w:rPr>
              <w:t xml:space="preserve"> </w:t>
            </w:r>
            <w:r>
              <w:rPr>
                <w:i/>
                <w:sz w:val="20"/>
              </w:rPr>
              <w:t>putea</w:t>
            </w:r>
            <w:r>
              <w:rPr>
                <w:i/>
                <w:spacing w:val="-7"/>
                <w:sz w:val="20"/>
              </w:rPr>
              <w:t xml:space="preserve"> </w:t>
            </w:r>
            <w:r>
              <w:rPr>
                <w:i/>
                <w:sz w:val="20"/>
              </w:rPr>
              <w:t>fi</w:t>
            </w:r>
            <w:r>
              <w:rPr>
                <w:i/>
                <w:spacing w:val="-10"/>
                <w:sz w:val="20"/>
              </w:rPr>
              <w:t xml:space="preserve"> </w:t>
            </w:r>
            <w:r>
              <w:rPr>
                <w:i/>
                <w:sz w:val="20"/>
              </w:rPr>
              <w:t>inclus</w:t>
            </w:r>
            <w:r>
              <w:rPr>
                <w:i/>
                <w:spacing w:val="-10"/>
                <w:sz w:val="20"/>
              </w:rPr>
              <w:t xml:space="preserve"> </w:t>
            </w:r>
            <w:r>
              <w:rPr>
                <w:i/>
                <w:sz w:val="20"/>
              </w:rPr>
              <w:t>în</w:t>
            </w:r>
            <w:r>
              <w:rPr>
                <w:i/>
                <w:spacing w:val="-10"/>
                <w:sz w:val="20"/>
              </w:rPr>
              <w:t xml:space="preserve"> </w:t>
            </w:r>
            <w:r>
              <w:rPr>
                <w:i/>
                <w:sz w:val="20"/>
              </w:rPr>
              <w:t>tarif.</w:t>
            </w:r>
            <w:r>
              <w:rPr>
                <w:i/>
                <w:spacing w:val="-10"/>
                <w:sz w:val="20"/>
              </w:rPr>
              <w:t xml:space="preserve"> </w:t>
            </w:r>
            <w:r>
              <w:rPr>
                <w:i/>
                <w:sz w:val="20"/>
              </w:rPr>
              <w:t>Acest</w:t>
            </w:r>
            <w:r>
              <w:rPr>
                <w:i/>
                <w:spacing w:val="-7"/>
                <w:sz w:val="20"/>
              </w:rPr>
              <w:t xml:space="preserve"> </w:t>
            </w:r>
            <w:r>
              <w:rPr>
                <w:i/>
                <w:sz w:val="20"/>
              </w:rPr>
              <w:t>cost</w:t>
            </w:r>
            <w:r>
              <w:rPr>
                <w:i/>
                <w:spacing w:val="-7"/>
                <w:sz w:val="20"/>
              </w:rPr>
              <w:t xml:space="preserve"> </w:t>
            </w:r>
            <w:r>
              <w:rPr>
                <w:i/>
                <w:sz w:val="20"/>
              </w:rPr>
              <w:t>va</w:t>
            </w:r>
            <w:r>
              <w:rPr>
                <w:i/>
                <w:spacing w:val="-9"/>
                <w:sz w:val="20"/>
              </w:rPr>
              <w:t xml:space="preserve"> </w:t>
            </w:r>
            <w:r>
              <w:rPr>
                <w:i/>
                <w:sz w:val="20"/>
              </w:rPr>
              <w:t>fi</w:t>
            </w:r>
            <w:r>
              <w:rPr>
                <w:i/>
                <w:spacing w:val="-9"/>
                <w:sz w:val="20"/>
              </w:rPr>
              <w:t xml:space="preserve"> </w:t>
            </w:r>
            <w:r>
              <w:rPr>
                <w:i/>
                <w:sz w:val="20"/>
              </w:rPr>
              <w:t>determinat</w:t>
            </w:r>
            <w:r>
              <w:rPr>
                <w:i/>
                <w:spacing w:val="-9"/>
                <w:sz w:val="20"/>
              </w:rPr>
              <w:t xml:space="preserve"> </w:t>
            </w:r>
            <w:r>
              <w:rPr>
                <w:i/>
                <w:sz w:val="20"/>
              </w:rPr>
              <w:t>de către Autoritățile contractante conform reglementărilor în vigoare și scăzut din factura Antreprenorului sub formă de penalități pentru neîndeplinirea indicatorilor</w:t>
            </w:r>
            <w:r>
              <w:rPr>
                <w:i/>
                <w:spacing w:val="-13"/>
                <w:sz w:val="20"/>
              </w:rPr>
              <w:t xml:space="preserve"> </w:t>
            </w:r>
            <w:r>
              <w:rPr>
                <w:i/>
                <w:sz w:val="20"/>
              </w:rPr>
              <w:t>de</w:t>
            </w:r>
          </w:p>
          <w:p>
            <w:pPr>
              <w:pStyle w:val="TableParagraph"/>
              <w:spacing w:line="233" w:lineRule="exact"/>
              <w:rPr>
                <w:i/>
                <w:sz w:val="20"/>
              </w:rPr>
            </w:pPr>
            <w:r>
              <w:rPr>
                <w:i/>
                <w:sz w:val="20"/>
              </w:rPr>
              <w:t>performanță.”</w:t>
            </w:r>
          </w:p>
        </w:tc>
      </w:tr>
      <w:tr>
        <w:trPr>
          <w:trHeight w:val="241"/>
        </w:trPr>
        <w:tc>
          <w:tcPr>
            <w:tcW w:w="9077" w:type="dxa"/>
            <w:gridSpan w:val="2"/>
          </w:tcPr>
          <w:p>
            <w:pPr>
              <w:pStyle w:val="TableParagraph"/>
              <w:spacing w:line="222" w:lineRule="exact"/>
              <w:rPr>
                <w:sz w:val="20"/>
              </w:rPr>
            </w:pPr>
            <w:r>
              <w:rPr>
                <w:sz w:val="20"/>
              </w:rPr>
              <w:t>Clauza 19 - Proiectarea de către Antreprenor</w:t>
            </w:r>
          </w:p>
        </w:tc>
      </w:tr>
      <w:tr>
        <w:trPr>
          <w:trHeight w:val="2205"/>
        </w:trPr>
        <w:tc>
          <w:tcPr>
            <w:tcW w:w="1800" w:type="dxa"/>
          </w:tcPr>
          <w:p>
            <w:pPr>
              <w:pStyle w:val="TableParagraph"/>
              <w:spacing w:before="2"/>
              <w:rPr>
                <w:sz w:val="20"/>
              </w:rPr>
            </w:pPr>
            <w:r>
              <w:rPr>
                <w:sz w:val="20"/>
              </w:rPr>
              <w:t>19.2</w:t>
            </w:r>
          </w:p>
        </w:tc>
        <w:tc>
          <w:tcPr>
            <w:tcW w:w="7277" w:type="dxa"/>
          </w:tcPr>
          <w:p>
            <w:pPr>
              <w:pStyle w:val="TableParagraph"/>
              <w:spacing w:before="24" w:line="273" w:lineRule="auto"/>
              <w:ind w:right="427"/>
              <w:jc w:val="both"/>
              <w:rPr>
                <w:sz w:val="20"/>
              </w:rPr>
            </w:pPr>
            <w:r>
              <w:rPr>
                <w:sz w:val="20"/>
              </w:rPr>
              <w:t>modalităţi şi calendarul de aprobare a proiectării elaborate de către Antreprenor</w:t>
            </w:r>
          </w:p>
          <w:p>
            <w:pPr>
              <w:pStyle w:val="TableParagraph"/>
              <w:jc w:val="both"/>
              <w:rPr>
                <w:sz w:val="20"/>
              </w:rPr>
            </w:pPr>
            <w:r>
              <w:rPr>
                <w:sz w:val="20"/>
              </w:rPr>
              <w:t>Alin. 3 se va modifica si va avea urmatorul continut:</w:t>
            </w:r>
          </w:p>
          <w:p>
            <w:pPr>
              <w:pStyle w:val="TableParagraph"/>
              <w:spacing w:before="31" w:line="271" w:lineRule="auto"/>
              <w:ind w:left="45" w:right="20" w:hanging="5"/>
              <w:jc w:val="both"/>
              <w:rPr>
                <w:i/>
                <w:sz w:val="20"/>
              </w:rPr>
            </w:pPr>
            <w:r>
              <w:rPr>
                <w:i/>
                <w:sz w:val="20"/>
              </w:rPr>
              <w:t>”Supervizorul va aproba sau va respinge motivat documentaţia elaborată de Antreprenor în termen de maximum 15 zile de la primire. Acest termen va include şi orice perioade necesare de consultări între Supervizor</w:t>
            </w:r>
            <w:r>
              <w:rPr>
                <w:i/>
                <w:spacing w:val="-7"/>
                <w:sz w:val="20"/>
              </w:rPr>
              <w:t xml:space="preserve"> </w:t>
            </w:r>
            <w:r>
              <w:rPr>
                <w:i/>
                <w:sz w:val="20"/>
              </w:rPr>
              <w:t>şi</w:t>
            </w:r>
            <w:r>
              <w:rPr>
                <w:i/>
                <w:spacing w:val="-5"/>
                <w:sz w:val="20"/>
              </w:rPr>
              <w:t xml:space="preserve"> </w:t>
            </w:r>
            <w:r>
              <w:rPr>
                <w:i/>
                <w:sz w:val="20"/>
              </w:rPr>
              <w:t>Beneficiar,</w:t>
            </w:r>
            <w:r>
              <w:rPr>
                <w:i/>
                <w:spacing w:val="-6"/>
                <w:sz w:val="20"/>
              </w:rPr>
              <w:t xml:space="preserve"> </w:t>
            </w:r>
            <w:r>
              <w:rPr>
                <w:i/>
                <w:sz w:val="20"/>
              </w:rPr>
              <w:t>analiză</w:t>
            </w:r>
            <w:r>
              <w:rPr>
                <w:i/>
                <w:spacing w:val="-6"/>
                <w:sz w:val="20"/>
              </w:rPr>
              <w:t xml:space="preserve"> </w:t>
            </w:r>
            <w:r>
              <w:rPr>
                <w:i/>
                <w:sz w:val="20"/>
              </w:rPr>
              <w:t>şi</w:t>
            </w:r>
            <w:r>
              <w:rPr>
                <w:i/>
                <w:spacing w:val="-6"/>
                <w:sz w:val="20"/>
              </w:rPr>
              <w:t xml:space="preserve"> </w:t>
            </w:r>
            <w:r>
              <w:rPr>
                <w:i/>
                <w:sz w:val="20"/>
              </w:rPr>
              <w:t>aprobare</w:t>
            </w:r>
            <w:r>
              <w:rPr>
                <w:i/>
                <w:spacing w:val="-6"/>
                <w:sz w:val="20"/>
              </w:rPr>
              <w:t xml:space="preserve"> </w:t>
            </w:r>
            <w:r>
              <w:rPr>
                <w:i/>
                <w:sz w:val="20"/>
              </w:rPr>
              <w:t>de</w:t>
            </w:r>
            <w:r>
              <w:rPr>
                <w:i/>
                <w:spacing w:val="-7"/>
                <w:sz w:val="20"/>
              </w:rPr>
              <w:t xml:space="preserve"> </w:t>
            </w:r>
            <w:r>
              <w:rPr>
                <w:i/>
                <w:sz w:val="20"/>
              </w:rPr>
              <w:t>către</w:t>
            </w:r>
            <w:r>
              <w:rPr>
                <w:i/>
                <w:spacing w:val="-6"/>
                <w:sz w:val="20"/>
              </w:rPr>
              <w:t xml:space="preserve"> </w:t>
            </w:r>
            <w:r>
              <w:rPr>
                <w:i/>
                <w:sz w:val="20"/>
              </w:rPr>
              <w:t>Beneficiar</w:t>
            </w:r>
            <w:r>
              <w:rPr>
                <w:i/>
                <w:spacing w:val="-6"/>
                <w:sz w:val="20"/>
              </w:rPr>
              <w:t xml:space="preserve"> </w:t>
            </w:r>
            <w:r>
              <w:rPr>
                <w:i/>
                <w:sz w:val="20"/>
              </w:rPr>
              <w:t>sau</w:t>
            </w:r>
            <w:r>
              <w:rPr>
                <w:i/>
                <w:spacing w:val="-6"/>
                <w:sz w:val="20"/>
              </w:rPr>
              <w:t xml:space="preserve"> </w:t>
            </w:r>
            <w:r>
              <w:rPr>
                <w:i/>
                <w:sz w:val="20"/>
              </w:rPr>
              <w:t>alte</w:t>
            </w:r>
          </w:p>
          <w:p>
            <w:pPr>
              <w:pStyle w:val="TableParagraph"/>
              <w:spacing w:line="234" w:lineRule="exact"/>
              <w:ind w:left="45"/>
              <w:rPr>
                <w:i/>
                <w:sz w:val="20"/>
              </w:rPr>
            </w:pPr>
            <w:r>
              <w:rPr>
                <w:i/>
                <w:sz w:val="20"/>
              </w:rPr>
              <w:t>entităţi.”</w:t>
            </w:r>
          </w:p>
        </w:tc>
      </w:tr>
    </w:tbl>
    <w:p>
      <w:pPr>
        <w:spacing w:line="234" w:lineRule="exact"/>
        <w:rPr>
          <w:sz w:val="20"/>
        </w:rPr>
        <w:sectPr>
          <w:pgSz w:w="11910" w:h="16840"/>
          <w:pgMar w:top="1580" w:right="960" w:bottom="860" w:left="1580" w:header="284" w:footer="675" w:gutter="0"/>
          <w:cols w:space="720"/>
        </w:sectPr>
      </w:pPr>
    </w:p>
    <w:p>
      <w:pPr>
        <w:rPr>
          <w:sz w:val="20"/>
        </w:rPr>
      </w:pPr>
    </w:p>
    <w:p>
      <w:pPr>
        <w:spacing w:before="12"/>
        <w:rPr>
          <w:sz w:val="27"/>
        </w:rPr>
      </w:pPr>
    </w:p>
    <w:tbl>
      <w:tblPr>
        <w:tblW w:w="0" w:type="auto"/>
        <w:tblInd w:w="1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0"/>
        <w:gridCol w:w="7277"/>
      </w:tblGrid>
      <w:tr>
        <w:trPr>
          <w:trHeight w:val="486"/>
        </w:trPr>
        <w:tc>
          <w:tcPr>
            <w:tcW w:w="9077" w:type="dxa"/>
            <w:gridSpan w:val="2"/>
          </w:tcPr>
          <w:p>
            <w:pPr>
              <w:pStyle w:val="TableParagraph"/>
              <w:spacing w:line="243" w:lineRule="exact"/>
              <w:rPr>
                <w:sz w:val="20"/>
              </w:rPr>
            </w:pPr>
            <w:r>
              <w:rPr>
                <w:sz w:val="20"/>
              </w:rPr>
              <w:t>Clauza 24 Interferenţe cu traficul şi căile de acces</w:t>
            </w:r>
          </w:p>
          <w:p>
            <w:pPr>
              <w:pStyle w:val="TableParagraph"/>
              <w:spacing w:line="224" w:lineRule="exact"/>
              <w:rPr>
                <w:sz w:val="20"/>
              </w:rPr>
            </w:pPr>
            <w:r>
              <w:rPr>
                <w:w w:val="99"/>
                <w:sz w:val="20"/>
              </w:rPr>
              <w:t>-</w:t>
            </w:r>
          </w:p>
        </w:tc>
      </w:tr>
      <w:tr>
        <w:trPr>
          <w:trHeight w:val="9700"/>
        </w:trPr>
        <w:tc>
          <w:tcPr>
            <w:tcW w:w="1800" w:type="dxa"/>
          </w:tcPr>
          <w:p>
            <w:pPr>
              <w:pStyle w:val="TableParagraph"/>
              <w:rPr>
                <w:sz w:val="20"/>
              </w:rPr>
            </w:pPr>
            <w:r>
              <w:rPr>
                <w:sz w:val="20"/>
              </w:rPr>
              <w:t>24.1</w:t>
            </w:r>
          </w:p>
        </w:tc>
        <w:tc>
          <w:tcPr>
            <w:tcW w:w="7277" w:type="dxa"/>
          </w:tcPr>
          <w:p>
            <w:pPr>
              <w:pStyle w:val="TableParagraph"/>
              <w:spacing w:line="232" w:lineRule="auto"/>
              <w:ind w:left="45" w:right="26" w:hanging="5"/>
              <w:rPr>
                <w:sz w:val="20"/>
              </w:rPr>
            </w:pPr>
            <w:r>
              <w:rPr>
                <w:sz w:val="20"/>
              </w:rPr>
              <w:t>măsura în care pot fi afectate traficul şi căile de comunicaţii: Prima frază a sub-clauzei 24.1 se modifică după cum urmează:</w:t>
            </w:r>
          </w:p>
          <w:p>
            <w:pPr>
              <w:pStyle w:val="TableParagraph"/>
              <w:spacing w:before="6"/>
              <w:ind w:left="0"/>
              <w:rPr>
                <w:sz w:val="18"/>
              </w:rPr>
            </w:pPr>
          </w:p>
          <w:p>
            <w:pPr>
              <w:pStyle w:val="TableParagraph"/>
              <w:spacing w:line="228" w:lineRule="auto"/>
              <w:ind w:right="22" w:firstLine="19"/>
              <w:jc w:val="both"/>
              <w:rPr>
                <w:i/>
                <w:sz w:val="20"/>
              </w:rPr>
            </w:pPr>
            <w:r>
              <w:rPr>
                <w:i/>
                <w:sz w:val="20"/>
              </w:rPr>
              <w:t>"Antreprenorul se va asigura că execuţia Lucrărilor şi activităţile sale aferente</w:t>
            </w:r>
            <w:r>
              <w:rPr>
                <w:i/>
                <w:spacing w:val="-11"/>
                <w:sz w:val="20"/>
              </w:rPr>
              <w:t xml:space="preserve"> </w:t>
            </w:r>
            <w:r>
              <w:rPr>
                <w:i/>
                <w:sz w:val="20"/>
              </w:rPr>
              <w:t>nu</w:t>
            </w:r>
            <w:r>
              <w:rPr>
                <w:i/>
                <w:spacing w:val="-12"/>
                <w:sz w:val="20"/>
              </w:rPr>
              <w:t xml:space="preserve"> </w:t>
            </w:r>
            <w:r>
              <w:rPr>
                <w:i/>
                <w:sz w:val="20"/>
              </w:rPr>
              <w:t>afectează</w:t>
            </w:r>
            <w:r>
              <w:rPr>
                <w:i/>
                <w:spacing w:val="-10"/>
                <w:sz w:val="20"/>
              </w:rPr>
              <w:t xml:space="preserve"> </w:t>
            </w:r>
            <w:r>
              <w:rPr>
                <w:i/>
                <w:sz w:val="20"/>
              </w:rPr>
              <w:t>traficul</w:t>
            </w:r>
            <w:r>
              <w:rPr>
                <w:i/>
                <w:spacing w:val="-12"/>
                <w:sz w:val="20"/>
              </w:rPr>
              <w:t xml:space="preserve"> </w:t>
            </w:r>
            <w:r>
              <w:rPr>
                <w:i/>
                <w:sz w:val="20"/>
              </w:rPr>
              <w:t>şi</w:t>
            </w:r>
            <w:r>
              <w:rPr>
                <w:i/>
                <w:spacing w:val="-12"/>
                <w:sz w:val="20"/>
              </w:rPr>
              <w:t xml:space="preserve"> </w:t>
            </w:r>
            <w:r>
              <w:rPr>
                <w:i/>
                <w:sz w:val="20"/>
              </w:rPr>
              <w:t>nu</w:t>
            </w:r>
            <w:r>
              <w:rPr>
                <w:i/>
                <w:spacing w:val="-10"/>
                <w:sz w:val="20"/>
              </w:rPr>
              <w:t xml:space="preserve"> </w:t>
            </w:r>
            <w:r>
              <w:rPr>
                <w:i/>
                <w:sz w:val="20"/>
              </w:rPr>
              <w:t>obstrucţionează</w:t>
            </w:r>
            <w:r>
              <w:rPr>
                <w:i/>
                <w:spacing w:val="-12"/>
                <w:sz w:val="20"/>
              </w:rPr>
              <w:t xml:space="preserve"> </w:t>
            </w:r>
            <w:r>
              <w:rPr>
                <w:i/>
                <w:sz w:val="20"/>
              </w:rPr>
              <w:t>căile</w:t>
            </w:r>
            <w:r>
              <w:rPr>
                <w:i/>
                <w:spacing w:val="-14"/>
                <w:sz w:val="20"/>
              </w:rPr>
              <w:t xml:space="preserve"> </w:t>
            </w:r>
            <w:r>
              <w:rPr>
                <w:i/>
                <w:sz w:val="20"/>
              </w:rPr>
              <w:t>de</w:t>
            </w:r>
            <w:r>
              <w:rPr>
                <w:i/>
                <w:spacing w:val="-11"/>
                <w:sz w:val="20"/>
              </w:rPr>
              <w:t xml:space="preserve"> </w:t>
            </w:r>
            <w:r>
              <w:rPr>
                <w:i/>
                <w:sz w:val="20"/>
              </w:rPr>
              <w:t>comunicaţie cum ar fi drumuri, căi ferate, cursuri de apă şi aeroporturi, cu excepţia prevederilor Contractului / Cerinţelor Beneficiarului şi instrucţiunilor Supervizorului."</w:t>
            </w:r>
          </w:p>
          <w:p>
            <w:pPr>
              <w:pStyle w:val="TableParagraph"/>
              <w:spacing w:before="4"/>
              <w:ind w:left="0"/>
              <w:rPr>
                <w:sz w:val="19"/>
              </w:rPr>
            </w:pPr>
          </w:p>
          <w:p>
            <w:pPr>
              <w:pStyle w:val="TableParagraph"/>
              <w:jc w:val="both"/>
              <w:rPr>
                <w:sz w:val="20"/>
              </w:rPr>
            </w:pPr>
            <w:r>
              <w:rPr>
                <w:sz w:val="20"/>
              </w:rPr>
              <w:t>La sfârşitul sub-Clauzei 24.1 se adaugă următoarele:</w:t>
            </w:r>
          </w:p>
          <w:p>
            <w:pPr>
              <w:pStyle w:val="TableParagraph"/>
              <w:spacing w:before="6"/>
              <w:ind w:left="0"/>
              <w:rPr>
                <w:sz w:val="19"/>
              </w:rPr>
            </w:pPr>
          </w:p>
          <w:p>
            <w:pPr>
              <w:pStyle w:val="TableParagraph"/>
              <w:spacing w:line="225" w:lineRule="auto"/>
              <w:ind w:right="20" w:firstLine="19"/>
              <w:jc w:val="both"/>
              <w:rPr>
                <w:i/>
                <w:sz w:val="20"/>
              </w:rPr>
            </w:pPr>
            <w:r>
              <w:rPr>
                <w:i/>
                <w:sz w:val="20"/>
              </w:rPr>
              <w:t>"În termen de 28 de zile de la primirea Ordinului Administrativ de începere potrivit   prevederilor   Sub-Clauzei    33.1,    Antreprenorul va transmite Supervizorului planul detaliat de management al  traficului pentru toată</w:t>
            </w:r>
            <w:r>
              <w:rPr>
                <w:i/>
                <w:spacing w:val="-3"/>
                <w:sz w:val="20"/>
              </w:rPr>
              <w:t xml:space="preserve"> </w:t>
            </w:r>
            <w:r>
              <w:rPr>
                <w:i/>
                <w:sz w:val="20"/>
              </w:rPr>
              <w:t>lucrarea.</w:t>
            </w:r>
          </w:p>
          <w:p>
            <w:pPr>
              <w:pStyle w:val="TableParagraph"/>
              <w:spacing w:before="3" w:line="228" w:lineRule="auto"/>
              <w:ind w:left="45" w:right="21" w:hanging="5"/>
              <w:jc w:val="both"/>
              <w:rPr>
                <w:i/>
                <w:sz w:val="20"/>
              </w:rPr>
            </w:pPr>
            <w:r>
              <w:rPr>
                <w:i/>
                <w:sz w:val="20"/>
              </w:rPr>
              <w:t>Planul de Management al Traficului va defini măsurile ce vor fi implementate pentru gestionarea traficului pe durata executării Lucrărilor.</w:t>
            </w:r>
            <w:r>
              <w:rPr>
                <w:i/>
                <w:spacing w:val="-11"/>
                <w:sz w:val="20"/>
              </w:rPr>
              <w:t xml:space="preserve"> </w:t>
            </w:r>
            <w:r>
              <w:rPr>
                <w:i/>
                <w:sz w:val="20"/>
              </w:rPr>
              <w:t>Un</w:t>
            </w:r>
            <w:r>
              <w:rPr>
                <w:i/>
                <w:spacing w:val="-10"/>
                <w:sz w:val="20"/>
              </w:rPr>
              <w:t xml:space="preserve"> </w:t>
            </w:r>
            <w:r>
              <w:rPr>
                <w:i/>
                <w:sz w:val="20"/>
              </w:rPr>
              <w:t>astfel</w:t>
            </w:r>
            <w:r>
              <w:rPr>
                <w:i/>
                <w:spacing w:val="-7"/>
                <w:sz w:val="20"/>
              </w:rPr>
              <w:t xml:space="preserve"> </w:t>
            </w:r>
            <w:r>
              <w:rPr>
                <w:i/>
                <w:sz w:val="20"/>
              </w:rPr>
              <w:t>de</w:t>
            </w:r>
            <w:r>
              <w:rPr>
                <w:i/>
                <w:spacing w:val="-9"/>
                <w:sz w:val="20"/>
              </w:rPr>
              <w:t xml:space="preserve"> </w:t>
            </w:r>
            <w:r>
              <w:rPr>
                <w:i/>
                <w:sz w:val="20"/>
              </w:rPr>
              <w:t>sistem</w:t>
            </w:r>
            <w:r>
              <w:rPr>
                <w:i/>
                <w:spacing w:val="-9"/>
                <w:sz w:val="20"/>
              </w:rPr>
              <w:t xml:space="preserve"> </w:t>
            </w:r>
            <w:r>
              <w:rPr>
                <w:i/>
                <w:sz w:val="20"/>
              </w:rPr>
              <w:t>va</w:t>
            </w:r>
            <w:r>
              <w:rPr>
                <w:i/>
                <w:spacing w:val="-6"/>
                <w:sz w:val="20"/>
              </w:rPr>
              <w:t xml:space="preserve"> </w:t>
            </w:r>
            <w:r>
              <w:rPr>
                <w:i/>
                <w:sz w:val="20"/>
              </w:rPr>
              <w:t>descrie,</w:t>
            </w:r>
            <w:r>
              <w:rPr>
                <w:i/>
                <w:spacing w:val="-9"/>
                <w:sz w:val="20"/>
              </w:rPr>
              <w:t xml:space="preserve"> </w:t>
            </w:r>
            <w:r>
              <w:rPr>
                <w:i/>
                <w:sz w:val="20"/>
              </w:rPr>
              <w:t>sub</w:t>
            </w:r>
            <w:r>
              <w:rPr>
                <w:i/>
                <w:spacing w:val="-10"/>
                <w:sz w:val="20"/>
              </w:rPr>
              <w:t xml:space="preserve"> </w:t>
            </w:r>
            <w:r>
              <w:rPr>
                <w:i/>
                <w:sz w:val="20"/>
              </w:rPr>
              <w:t>forma</w:t>
            </w:r>
            <w:r>
              <w:rPr>
                <w:i/>
                <w:spacing w:val="-11"/>
                <w:sz w:val="20"/>
              </w:rPr>
              <w:t xml:space="preserve"> </w:t>
            </w:r>
            <w:r>
              <w:rPr>
                <w:i/>
                <w:sz w:val="20"/>
              </w:rPr>
              <w:t>unor</w:t>
            </w:r>
            <w:r>
              <w:rPr>
                <w:i/>
                <w:spacing w:val="-10"/>
                <w:sz w:val="20"/>
              </w:rPr>
              <w:t xml:space="preserve"> </w:t>
            </w:r>
            <w:r>
              <w:rPr>
                <w:i/>
                <w:sz w:val="20"/>
              </w:rPr>
              <w:t>schiţe</w:t>
            </w:r>
            <w:r>
              <w:rPr>
                <w:i/>
                <w:spacing w:val="-11"/>
                <w:sz w:val="20"/>
              </w:rPr>
              <w:t xml:space="preserve"> </w:t>
            </w:r>
            <w:r>
              <w:rPr>
                <w:i/>
                <w:sz w:val="20"/>
              </w:rPr>
              <w:t>însoţite de detaliile narative, succesiunea semnelor, devierile, iluminatul, împrejmuirile, etc. ce vor fi aplicate fiecărui sector de drum, cu diferite caracteristici ale profilelor transversale, astfel încât utilizatorii drumului şi riveranii să fie protejaţi. Planul de management al traficului specific pentru</w:t>
            </w:r>
            <w:r>
              <w:rPr>
                <w:i/>
                <w:spacing w:val="-15"/>
                <w:sz w:val="20"/>
              </w:rPr>
              <w:t xml:space="preserve"> </w:t>
            </w:r>
            <w:r>
              <w:rPr>
                <w:i/>
                <w:sz w:val="20"/>
              </w:rPr>
              <w:t>fiecare</w:t>
            </w:r>
            <w:r>
              <w:rPr>
                <w:i/>
                <w:spacing w:val="-16"/>
                <w:sz w:val="20"/>
              </w:rPr>
              <w:t xml:space="preserve"> </w:t>
            </w:r>
            <w:r>
              <w:rPr>
                <w:i/>
                <w:sz w:val="20"/>
              </w:rPr>
              <w:t>zonă</w:t>
            </w:r>
            <w:r>
              <w:rPr>
                <w:i/>
                <w:spacing w:val="-15"/>
                <w:sz w:val="20"/>
              </w:rPr>
              <w:t xml:space="preserve"> </w:t>
            </w:r>
            <w:r>
              <w:rPr>
                <w:i/>
                <w:sz w:val="20"/>
              </w:rPr>
              <w:t>de</w:t>
            </w:r>
            <w:r>
              <w:rPr>
                <w:i/>
                <w:spacing w:val="-19"/>
                <w:sz w:val="20"/>
              </w:rPr>
              <w:t xml:space="preserve"> </w:t>
            </w:r>
            <w:r>
              <w:rPr>
                <w:i/>
                <w:sz w:val="20"/>
              </w:rPr>
              <w:t>lucru</w:t>
            </w:r>
            <w:r>
              <w:rPr>
                <w:i/>
                <w:spacing w:val="-15"/>
                <w:sz w:val="20"/>
              </w:rPr>
              <w:t xml:space="preserve"> </w:t>
            </w:r>
            <w:r>
              <w:rPr>
                <w:i/>
                <w:sz w:val="20"/>
              </w:rPr>
              <w:t>va</w:t>
            </w:r>
            <w:r>
              <w:rPr>
                <w:i/>
                <w:spacing w:val="-13"/>
                <w:sz w:val="20"/>
              </w:rPr>
              <w:t xml:space="preserve"> </w:t>
            </w:r>
            <w:r>
              <w:rPr>
                <w:i/>
                <w:sz w:val="20"/>
              </w:rPr>
              <w:t>fi,</w:t>
            </w:r>
            <w:r>
              <w:rPr>
                <w:i/>
                <w:spacing w:val="-18"/>
                <w:sz w:val="20"/>
              </w:rPr>
              <w:t xml:space="preserve"> </w:t>
            </w:r>
            <w:r>
              <w:rPr>
                <w:i/>
                <w:sz w:val="20"/>
              </w:rPr>
              <w:t>înainte</w:t>
            </w:r>
            <w:r>
              <w:rPr>
                <w:i/>
                <w:spacing w:val="-17"/>
                <w:sz w:val="20"/>
              </w:rPr>
              <w:t xml:space="preserve"> </w:t>
            </w:r>
            <w:r>
              <w:rPr>
                <w:i/>
                <w:sz w:val="20"/>
              </w:rPr>
              <w:t>de</w:t>
            </w:r>
            <w:r>
              <w:rPr>
                <w:i/>
                <w:spacing w:val="-16"/>
                <w:sz w:val="20"/>
              </w:rPr>
              <w:t xml:space="preserve"> </w:t>
            </w:r>
            <w:r>
              <w:rPr>
                <w:i/>
                <w:sz w:val="20"/>
              </w:rPr>
              <w:t>data</w:t>
            </w:r>
            <w:r>
              <w:rPr>
                <w:i/>
                <w:spacing w:val="-16"/>
                <w:sz w:val="20"/>
              </w:rPr>
              <w:t xml:space="preserve"> </w:t>
            </w:r>
            <w:r>
              <w:rPr>
                <w:i/>
                <w:sz w:val="20"/>
              </w:rPr>
              <w:t>de</w:t>
            </w:r>
            <w:r>
              <w:rPr>
                <w:i/>
                <w:spacing w:val="-18"/>
                <w:sz w:val="20"/>
              </w:rPr>
              <w:t xml:space="preserve"> </w:t>
            </w:r>
            <w:r>
              <w:rPr>
                <w:i/>
                <w:sz w:val="20"/>
              </w:rPr>
              <w:t>începere</w:t>
            </w:r>
            <w:r>
              <w:rPr>
                <w:i/>
                <w:spacing w:val="-16"/>
                <w:sz w:val="20"/>
              </w:rPr>
              <w:t xml:space="preserve"> </w:t>
            </w:r>
            <w:r>
              <w:rPr>
                <w:i/>
                <w:sz w:val="20"/>
              </w:rPr>
              <w:t>a</w:t>
            </w:r>
            <w:r>
              <w:rPr>
                <w:i/>
                <w:spacing w:val="-14"/>
                <w:sz w:val="20"/>
              </w:rPr>
              <w:t xml:space="preserve"> </w:t>
            </w:r>
            <w:r>
              <w:rPr>
                <w:i/>
                <w:sz w:val="20"/>
              </w:rPr>
              <w:t>lucrărilor pe</w:t>
            </w:r>
            <w:r>
              <w:rPr>
                <w:i/>
                <w:spacing w:val="-11"/>
                <w:sz w:val="20"/>
              </w:rPr>
              <w:t xml:space="preserve"> </w:t>
            </w:r>
            <w:r>
              <w:rPr>
                <w:i/>
                <w:sz w:val="20"/>
              </w:rPr>
              <w:t>zona</w:t>
            </w:r>
            <w:r>
              <w:rPr>
                <w:i/>
                <w:spacing w:val="-7"/>
                <w:sz w:val="20"/>
              </w:rPr>
              <w:t xml:space="preserve"> </w:t>
            </w:r>
            <w:r>
              <w:rPr>
                <w:i/>
                <w:sz w:val="20"/>
              </w:rPr>
              <w:t>respectivă,</w:t>
            </w:r>
            <w:r>
              <w:rPr>
                <w:i/>
                <w:spacing w:val="-9"/>
                <w:sz w:val="20"/>
              </w:rPr>
              <w:t xml:space="preserve"> </w:t>
            </w:r>
            <w:r>
              <w:rPr>
                <w:i/>
                <w:sz w:val="20"/>
              </w:rPr>
              <w:t>supus</w:t>
            </w:r>
            <w:r>
              <w:rPr>
                <w:i/>
                <w:spacing w:val="-10"/>
                <w:sz w:val="20"/>
              </w:rPr>
              <w:t xml:space="preserve"> </w:t>
            </w:r>
            <w:r>
              <w:rPr>
                <w:i/>
                <w:sz w:val="20"/>
              </w:rPr>
              <w:t>aprobării</w:t>
            </w:r>
            <w:r>
              <w:rPr>
                <w:i/>
                <w:spacing w:val="-7"/>
                <w:sz w:val="20"/>
              </w:rPr>
              <w:t xml:space="preserve"> </w:t>
            </w:r>
            <w:r>
              <w:rPr>
                <w:i/>
                <w:sz w:val="20"/>
              </w:rPr>
              <w:t>Poliţiei</w:t>
            </w:r>
            <w:r>
              <w:rPr>
                <w:i/>
                <w:spacing w:val="-8"/>
                <w:sz w:val="20"/>
              </w:rPr>
              <w:t xml:space="preserve"> </w:t>
            </w:r>
            <w:r>
              <w:rPr>
                <w:i/>
                <w:sz w:val="20"/>
              </w:rPr>
              <w:t>Rutiere</w:t>
            </w:r>
            <w:r>
              <w:rPr>
                <w:i/>
                <w:spacing w:val="-10"/>
                <w:sz w:val="20"/>
              </w:rPr>
              <w:t xml:space="preserve"> </w:t>
            </w:r>
            <w:r>
              <w:rPr>
                <w:i/>
                <w:sz w:val="20"/>
              </w:rPr>
              <w:t>de</w:t>
            </w:r>
            <w:r>
              <w:rPr>
                <w:i/>
                <w:spacing w:val="-9"/>
                <w:sz w:val="20"/>
              </w:rPr>
              <w:t xml:space="preserve"> </w:t>
            </w:r>
            <w:r>
              <w:rPr>
                <w:i/>
                <w:sz w:val="20"/>
              </w:rPr>
              <w:t>pe</w:t>
            </w:r>
            <w:r>
              <w:rPr>
                <w:i/>
                <w:spacing w:val="-7"/>
                <w:sz w:val="20"/>
              </w:rPr>
              <w:t xml:space="preserve"> </w:t>
            </w:r>
            <w:r>
              <w:rPr>
                <w:i/>
                <w:sz w:val="20"/>
              </w:rPr>
              <w:t>raza</w:t>
            </w:r>
            <w:r>
              <w:rPr>
                <w:i/>
                <w:spacing w:val="-8"/>
                <w:sz w:val="20"/>
              </w:rPr>
              <w:t xml:space="preserve"> </w:t>
            </w:r>
            <w:r>
              <w:rPr>
                <w:i/>
                <w:sz w:val="20"/>
              </w:rPr>
              <w:t>în</w:t>
            </w:r>
            <w:r>
              <w:rPr>
                <w:i/>
                <w:spacing w:val="-7"/>
                <w:sz w:val="20"/>
              </w:rPr>
              <w:t xml:space="preserve"> </w:t>
            </w:r>
            <w:r>
              <w:rPr>
                <w:i/>
                <w:sz w:val="20"/>
              </w:rPr>
              <w:t>care</w:t>
            </w:r>
            <w:r>
              <w:rPr>
                <w:i/>
                <w:spacing w:val="-8"/>
                <w:sz w:val="20"/>
              </w:rPr>
              <w:t xml:space="preserve"> </w:t>
            </w:r>
            <w:r>
              <w:rPr>
                <w:i/>
                <w:sz w:val="20"/>
              </w:rPr>
              <w:t>se desfăşoară</w:t>
            </w:r>
            <w:r>
              <w:rPr>
                <w:i/>
                <w:spacing w:val="-16"/>
                <w:sz w:val="20"/>
              </w:rPr>
              <w:t xml:space="preserve"> </w:t>
            </w:r>
            <w:r>
              <w:rPr>
                <w:i/>
                <w:sz w:val="20"/>
              </w:rPr>
              <w:t>lucrările,</w:t>
            </w:r>
            <w:r>
              <w:rPr>
                <w:i/>
                <w:spacing w:val="-14"/>
                <w:sz w:val="20"/>
              </w:rPr>
              <w:t xml:space="preserve"> </w:t>
            </w:r>
            <w:r>
              <w:rPr>
                <w:i/>
                <w:sz w:val="20"/>
              </w:rPr>
              <w:t>iar</w:t>
            </w:r>
            <w:r>
              <w:rPr>
                <w:i/>
                <w:spacing w:val="-12"/>
                <w:sz w:val="20"/>
              </w:rPr>
              <w:t xml:space="preserve"> </w:t>
            </w:r>
            <w:r>
              <w:rPr>
                <w:i/>
                <w:sz w:val="20"/>
              </w:rPr>
              <w:t>2</w:t>
            </w:r>
            <w:r>
              <w:rPr>
                <w:i/>
                <w:spacing w:val="-17"/>
                <w:sz w:val="20"/>
              </w:rPr>
              <w:t xml:space="preserve"> </w:t>
            </w:r>
            <w:r>
              <w:rPr>
                <w:i/>
                <w:sz w:val="20"/>
              </w:rPr>
              <w:t>(două)</w:t>
            </w:r>
            <w:r>
              <w:rPr>
                <w:i/>
                <w:spacing w:val="-14"/>
                <w:sz w:val="20"/>
              </w:rPr>
              <w:t xml:space="preserve"> </w:t>
            </w:r>
            <w:r>
              <w:rPr>
                <w:i/>
                <w:sz w:val="20"/>
              </w:rPr>
              <w:t>exemplare</w:t>
            </w:r>
            <w:r>
              <w:rPr>
                <w:i/>
                <w:spacing w:val="-15"/>
                <w:sz w:val="20"/>
              </w:rPr>
              <w:t xml:space="preserve"> </w:t>
            </w:r>
            <w:r>
              <w:rPr>
                <w:i/>
                <w:sz w:val="20"/>
              </w:rPr>
              <w:t>ale</w:t>
            </w:r>
            <w:r>
              <w:rPr>
                <w:i/>
                <w:spacing w:val="-15"/>
                <w:sz w:val="20"/>
              </w:rPr>
              <w:t xml:space="preserve"> </w:t>
            </w:r>
            <w:r>
              <w:rPr>
                <w:i/>
                <w:sz w:val="20"/>
              </w:rPr>
              <w:t>acestui</w:t>
            </w:r>
            <w:r>
              <w:rPr>
                <w:i/>
                <w:spacing w:val="-15"/>
                <w:sz w:val="20"/>
              </w:rPr>
              <w:t xml:space="preserve"> </w:t>
            </w:r>
            <w:r>
              <w:rPr>
                <w:i/>
                <w:sz w:val="20"/>
              </w:rPr>
              <w:t>plan</w:t>
            </w:r>
            <w:r>
              <w:rPr>
                <w:i/>
                <w:spacing w:val="-14"/>
                <w:sz w:val="20"/>
              </w:rPr>
              <w:t xml:space="preserve"> </w:t>
            </w:r>
            <w:r>
              <w:rPr>
                <w:i/>
                <w:sz w:val="20"/>
              </w:rPr>
              <w:t>aprobat</w:t>
            </w:r>
            <w:r>
              <w:rPr>
                <w:i/>
                <w:spacing w:val="-16"/>
                <w:sz w:val="20"/>
              </w:rPr>
              <w:t xml:space="preserve"> </w:t>
            </w:r>
            <w:r>
              <w:rPr>
                <w:i/>
                <w:sz w:val="20"/>
              </w:rPr>
              <w:t>vor fi înaintate Supervizorului. Nu se acceptă începerea lucrărilor fără ca acest plan să fie aprobat de Poliţia</w:t>
            </w:r>
            <w:r>
              <w:rPr>
                <w:i/>
                <w:spacing w:val="-3"/>
                <w:sz w:val="20"/>
              </w:rPr>
              <w:t xml:space="preserve"> </w:t>
            </w:r>
            <w:r>
              <w:rPr>
                <w:i/>
                <w:sz w:val="20"/>
              </w:rPr>
              <w:t>Rutieră.</w:t>
            </w:r>
          </w:p>
          <w:p>
            <w:pPr>
              <w:pStyle w:val="TableParagraph"/>
              <w:spacing w:line="228" w:lineRule="auto"/>
              <w:ind w:left="54" w:right="23" w:hanging="15"/>
              <w:jc w:val="both"/>
              <w:rPr>
                <w:i/>
                <w:sz w:val="20"/>
              </w:rPr>
            </w:pPr>
            <w:r>
              <w:rPr>
                <w:i/>
                <w:sz w:val="20"/>
              </w:rPr>
              <w:t>Antreprenorul</w:t>
            </w:r>
            <w:r>
              <w:rPr>
                <w:i/>
                <w:spacing w:val="-11"/>
                <w:sz w:val="20"/>
              </w:rPr>
              <w:t xml:space="preserve"> </w:t>
            </w:r>
            <w:r>
              <w:rPr>
                <w:i/>
                <w:sz w:val="20"/>
              </w:rPr>
              <w:t>va</w:t>
            </w:r>
            <w:r>
              <w:rPr>
                <w:i/>
                <w:spacing w:val="-7"/>
                <w:sz w:val="20"/>
              </w:rPr>
              <w:t xml:space="preserve"> </w:t>
            </w:r>
            <w:r>
              <w:rPr>
                <w:i/>
                <w:sz w:val="20"/>
              </w:rPr>
              <w:t>nominaliza</w:t>
            </w:r>
            <w:r>
              <w:rPr>
                <w:i/>
                <w:spacing w:val="-8"/>
                <w:sz w:val="20"/>
              </w:rPr>
              <w:t xml:space="preserve"> </w:t>
            </w:r>
            <w:r>
              <w:rPr>
                <w:i/>
                <w:sz w:val="20"/>
              </w:rPr>
              <w:t>un</w:t>
            </w:r>
            <w:r>
              <w:rPr>
                <w:i/>
                <w:spacing w:val="-10"/>
                <w:sz w:val="20"/>
              </w:rPr>
              <w:t xml:space="preserve"> </w:t>
            </w:r>
            <w:r>
              <w:rPr>
                <w:i/>
                <w:sz w:val="20"/>
              </w:rPr>
              <w:t>Manager</w:t>
            </w:r>
            <w:r>
              <w:rPr>
                <w:i/>
                <w:spacing w:val="-10"/>
                <w:sz w:val="20"/>
              </w:rPr>
              <w:t xml:space="preserve"> </w:t>
            </w:r>
            <w:r>
              <w:rPr>
                <w:i/>
                <w:sz w:val="20"/>
              </w:rPr>
              <w:t>de</w:t>
            </w:r>
            <w:r>
              <w:rPr>
                <w:i/>
                <w:spacing w:val="-8"/>
                <w:sz w:val="20"/>
              </w:rPr>
              <w:t xml:space="preserve"> </w:t>
            </w:r>
            <w:r>
              <w:rPr>
                <w:i/>
                <w:sz w:val="20"/>
              </w:rPr>
              <w:t>Trafic,</w:t>
            </w:r>
            <w:r>
              <w:rPr>
                <w:i/>
                <w:spacing w:val="-7"/>
                <w:sz w:val="20"/>
              </w:rPr>
              <w:t xml:space="preserve"> </w:t>
            </w:r>
            <w:r>
              <w:rPr>
                <w:i/>
                <w:sz w:val="20"/>
              </w:rPr>
              <w:t>care</w:t>
            </w:r>
            <w:r>
              <w:rPr>
                <w:i/>
                <w:spacing w:val="-8"/>
                <w:sz w:val="20"/>
              </w:rPr>
              <w:t xml:space="preserve"> </w:t>
            </w:r>
            <w:r>
              <w:rPr>
                <w:i/>
                <w:sz w:val="20"/>
              </w:rPr>
              <w:t>îşi</w:t>
            </w:r>
            <w:r>
              <w:rPr>
                <w:i/>
                <w:spacing w:val="-7"/>
                <w:sz w:val="20"/>
              </w:rPr>
              <w:t xml:space="preserve"> </w:t>
            </w:r>
            <w:r>
              <w:rPr>
                <w:i/>
                <w:sz w:val="20"/>
              </w:rPr>
              <w:t>va</w:t>
            </w:r>
            <w:r>
              <w:rPr>
                <w:i/>
                <w:spacing w:val="-9"/>
                <w:sz w:val="20"/>
              </w:rPr>
              <w:t xml:space="preserve"> </w:t>
            </w:r>
            <w:r>
              <w:rPr>
                <w:i/>
                <w:sz w:val="20"/>
              </w:rPr>
              <w:t>desfăşura activitatea de coordonare a traficului pe zonele afectate de lucrări, pe toată Durata de</w:t>
            </w:r>
            <w:r>
              <w:rPr>
                <w:i/>
                <w:spacing w:val="-5"/>
                <w:sz w:val="20"/>
              </w:rPr>
              <w:t xml:space="preserve"> </w:t>
            </w:r>
            <w:r>
              <w:rPr>
                <w:i/>
                <w:sz w:val="20"/>
              </w:rPr>
              <w:t>Execuţie.</w:t>
            </w:r>
          </w:p>
          <w:p>
            <w:pPr>
              <w:pStyle w:val="TableParagraph"/>
              <w:spacing w:line="225" w:lineRule="auto"/>
              <w:ind w:right="22"/>
              <w:jc w:val="both"/>
              <w:rPr>
                <w:i/>
                <w:sz w:val="20"/>
              </w:rPr>
            </w:pPr>
            <w:r>
              <w:rPr>
                <w:i/>
                <w:sz w:val="20"/>
              </w:rPr>
              <w:t>Operaţiunile care presupun întreruperea sau închiderea drumurilor existente sau a Utilităţilor publice existente pe Şantier nu se vor face fără consimţământul  scris  al  administratorului/deţinătorului  acestora.</w:t>
            </w:r>
          </w:p>
          <w:p>
            <w:pPr>
              <w:pStyle w:val="TableParagraph"/>
              <w:spacing w:line="230" w:lineRule="exact"/>
              <w:jc w:val="both"/>
              <w:rPr>
                <w:i/>
                <w:sz w:val="20"/>
              </w:rPr>
            </w:pPr>
            <w:r>
              <w:rPr>
                <w:i/>
                <w:sz w:val="20"/>
              </w:rPr>
              <w:t>Antreprenorul</w:t>
            </w:r>
            <w:r>
              <w:rPr>
                <w:i/>
                <w:spacing w:val="-13"/>
                <w:sz w:val="20"/>
              </w:rPr>
              <w:t xml:space="preserve"> </w:t>
            </w:r>
            <w:r>
              <w:rPr>
                <w:i/>
                <w:sz w:val="20"/>
              </w:rPr>
              <w:t>va</w:t>
            </w:r>
            <w:r>
              <w:rPr>
                <w:i/>
                <w:spacing w:val="-8"/>
                <w:sz w:val="20"/>
              </w:rPr>
              <w:t xml:space="preserve"> </w:t>
            </w:r>
            <w:r>
              <w:rPr>
                <w:i/>
                <w:sz w:val="20"/>
              </w:rPr>
              <w:t>solicita</w:t>
            </w:r>
            <w:r>
              <w:rPr>
                <w:i/>
                <w:spacing w:val="-11"/>
                <w:sz w:val="20"/>
              </w:rPr>
              <w:t xml:space="preserve"> </w:t>
            </w:r>
            <w:r>
              <w:rPr>
                <w:i/>
                <w:sz w:val="20"/>
              </w:rPr>
              <w:t>în</w:t>
            </w:r>
            <w:r>
              <w:rPr>
                <w:i/>
                <w:spacing w:val="-11"/>
                <w:sz w:val="20"/>
              </w:rPr>
              <w:t xml:space="preserve"> </w:t>
            </w:r>
            <w:r>
              <w:rPr>
                <w:i/>
                <w:sz w:val="20"/>
              </w:rPr>
              <w:t>scris</w:t>
            </w:r>
            <w:r>
              <w:rPr>
                <w:i/>
                <w:spacing w:val="-13"/>
                <w:sz w:val="20"/>
              </w:rPr>
              <w:t xml:space="preserve"> </w:t>
            </w:r>
            <w:r>
              <w:rPr>
                <w:i/>
                <w:sz w:val="20"/>
              </w:rPr>
              <w:t>un</w:t>
            </w:r>
            <w:r>
              <w:rPr>
                <w:i/>
                <w:spacing w:val="-9"/>
                <w:sz w:val="20"/>
              </w:rPr>
              <w:t xml:space="preserve"> </w:t>
            </w:r>
            <w:r>
              <w:rPr>
                <w:i/>
                <w:sz w:val="20"/>
              </w:rPr>
              <w:t>astfel</w:t>
            </w:r>
            <w:r>
              <w:rPr>
                <w:i/>
                <w:spacing w:val="-11"/>
                <w:sz w:val="20"/>
              </w:rPr>
              <w:t xml:space="preserve"> </w:t>
            </w:r>
            <w:r>
              <w:rPr>
                <w:i/>
                <w:sz w:val="20"/>
              </w:rPr>
              <w:t>de</w:t>
            </w:r>
            <w:r>
              <w:rPr>
                <w:i/>
                <w:spacing w:val="-11"/>
                <w:sz w:val="20"/>
              </w:rPr>
              <w:t xml:space="preserve"> </w:t>
            </w:r>
            <w:r>
              <w:rPr>
                <w:i/>
                <w:sz w:val="20"/>
              </w:rPr>
              <w:t>consimţământ,</w:t>
            </w:r>
            <w:r>
              <w:rPr>
                <w:i/>
                <w:spacing w:val="-12"/>
                <w:sz w:val="20"/>
              </w:rPr>
              <w:t xml:space="preserve"> </w:t>
            </w:r>
            <w:r>
              <w:rPr>
                <w:i/>
                <w:sz w:val="20"/>
              </w:rPr>
              <w:t>cu</w:t>
            </w:r>
            <w:r>
              <w:rPr>
                <w:i/>
                <w:spacing w:val="-10"/>
                <w:sz w:val="20"/>
              </w:rPr>
              <w:t xml:space="preserve"> </w:t>
            </w:r>
            <w:r>
              <w:rPr>
                <w:i/>
                <w:sz w:val="20"/>
              </w:rPr>
              <w:t>cel</w:t>
            </w:r>
            <w:r>
              <w:rPr>
                <w:i/>
                <w:spacing w:val="-9"/>
                <w:sz w:val="20"/>
              </w:rPr>
              <w:t xml:space="preserve"> </w:t>
            </w:r>
            <w:r>
              <w:rPr>
                <w:i/>
                <w:sz w:val="20"/>
              </w:rPr>
              <w:t>puţin</w:t>
            </w:r>
          </w:p>
          <w:p>
            <w:pPr>
              <w:pStyle w:val="TableParagraph"/>
              <w:spacing w:line="225" w:lineRule="auto"/>
              <w:ind w:left="54" w:right="22"/>
              <w:jc w:val="both"/>
              <w:rPr>
                <w:i/>
                <w:sz w:val="20"/>
              </w:rPr>
            </w:pPr>
            <w:r>
              <w:rPr>
                <w:i/>
                <w:sz w:val="20"/>
              </w:rPr>
              <w:t>30 de zile înainte de începerea propusă a unei astfel de operaţiuni. Solicitarea va include detalii complete despre operaţiune, programul, principalele utilaje care se vor utiliza şi va include copii ale tuturor autorizaţiilor necesare obţinute.</w:t>
            </w:r>
          </w:p>
          <w:p>
            <w:pPr>
              <w:pStyle w:val="TableParagraph"/>
              <w:spacing w:before="6" w:line="230" w:lineRule="exact"/>
              <w:ind w:right="109" w:firstLine="14"/>
              <w:rPr>
                <w:i/>
                <w:sz w:val="20"/>
              </w:rPr>
            </w:pPr>
            <w:r>
              <w:rPr>
                <w:i/>
                <w:sz w:val="20"/>
              </w:rPr>
              <w:t>Toate modificările de trafic auto şi pietonal se vor face în conformitate cu legile din România şi vor fi evidenţiate în Planul de Management al Traficului aprobat de Poliţia Rutieră din zona afectată de lucrări."</w:t>
            </w:r>
          </w:p>
        </w:tc>
      </w:tr>
      <w:tr>
        <w:trPr>
          <w:trHeight w:val="486"/>
        </w:trPr>
        <w:tc>
          <w:tcPr>
            <w:tcW w:w="9077" w:type="dxa"/>
            <w:gridSpan w:val="2"/>
          </w:tcPr>
          <w:p>
            <w:pPr>
              <w:pStyle w:val="TableParagraph"/>
              <w:tabs>
                <w:tab w:val="left" w:pos="1731"/>
              </w:tabs>
              <w:spacing w:before="7" w:line="242" w:lineRule="exact"/>
              <w:ind w:right="4904"/>
              <w:rPr>
                <w:sz w:val="20"/>
              </w:rPr>
            </w:pPr>
            <w:r>
              <w:rPr>
                <w:sz w:val="20"/>
              </w:rPr>
              <w:t>Clauza</w:t>
            </w:r>
            <w:r>
              <w:rPr>
                <w:sz w:val="20"/>
              </w:rPr>
              <w:tab/>
              <w:t>- Perioada de Mobilizare 35a</w:t>
            </w:r>
          </w:p>
        </w:tc>
      </w:tr>
      <w:tr>
        <w:trPr>
          <w:trHeight w:val="552"/>
        </w:trPr>
        <w:tc>
          <w:tcPr>
            <w:tcW w:w="1800" w:type="dxa"/>
          </w:tcPr>
          <w:p>
            <w:pPr>
              <w:pStyle w:val="TableParagraph"/>
              <w:spacing w:line="239" w:lineRule="exact"/>
              <w:rPr>
                <w:sz w:val="20"/>
              </w:rPr>
            </w:pPr>
            <w:r>
              <w:rPr>
                <w:sz w:val="20"/>
              </w:rPr>
              <w:t>35a.2</w:t>
            </w:r>
          </w:p>
        </w:tc>
        <w:tc>
          <w:tcPr>
            <w:tcW w:w="7277" w:type="dxa"/>
          </w:tcPr>
          <w:p>
            <w:pPr>
              <w:pStyle w:val="TableParagraph"/>
              <w:spacing w:before="17"/>
              <w:rPr>
                <w:sz w:val="20"/>
              </w:rPr>
            </w:pPr>
            <w:r>
              <w:rPr>
                <w:sz w:val="20"/>
              </w:rPr>
              <w:t>formalităţile</w:t>
            </w:r>
            <w:r>
              <w:rPr>
                <w:spacing w:val="-10"/>
                <w:sz w:val="20"/>
              </w:rPr>
              <w:t xml:space="preserve"> </w:t>
            </w:r>
            <w:r>
              <w:rPr>
                <w:sz w:val="20"/>
              </w:rPr>
              <w:t>şi</w:t>
            </w:r>
            <w:r>
              <w:rPr>
                <w:spacing w:val="-7"/>
                <w:sz w:val="20"/>
              </w:rPr>
              <w:t xml:space="preserve"> </w:t>
            </w:r>
            <w:r>
              <w:rPr>
                <w:sz w:val="20"/>
              </w:rPr>
              <w:t>demersurile</w:t>
            </w:r>
            <w:r>
              <w:rPr>
                <w:spacing w:val="-9"/>
                <w:sz w:val="20"/>
              </w:rPr>
              <w:t xml:space="preserve"> </w:t>
            </w:r>
            <w:r>
              <w:rPr>
                <w:sz w:val="20"/>
              </w:rPr>
              <w:t>pe</w:t>
            </w:r>
            <w:r>
              <w:rPr>
                <w:spacing w:val="-6"/>
                <w:sz w:val="20"/>
              </w:rPr>
              <w:t xml:space="preserve"> </w:t>
            </w:r>
            <w:r>
              <w:rPr>
                <w:sz w:val="20"/>
              </w:rPr>
              <w:t>care</w:t>
            </w:r>
            <w:r>
              <w:rPr>
                <w:spacing w:val="-8"/>
                <w:sz w:val="20"/>
              </w:rPr>
              <w:t xml:space="preserve"> </w:t>
            </w:r>
            <w:r>
              <w:rPr>
                <w:sz w:val="20"/>
              </w:rPr>
              <w:t>Antreprenorul</w:t>
            </w:r>
            <w:r>
              <w:rPr>
                <w:spacing w:val="-5"/>
                <w:sz w:val="20"/>
              </w:rPr>
              <w:t xml:space="preserve"> </w:t>
            </w:r>
            <w:r>
              <w:rPr>
                <w:sz w:val="20"/>
              </w:rPr>
              <w:t>trebuie</w:t>
            </w:r>
            <w:r>
              <w:rPr>
                <w:spacing w:val="-6"/>
                <w:sz w:val="20"/>
              </w:rPr>
              <w:t xml:space="preserve"> </w:t>
            </w:r>
            <w:r>
              <w:rPr>
                <w:sz w:val="20"/>
              </w:rPr>
              <w:t>să</w:t>
            </w:r>
            <w:r>
              <w:rPr>
                <w:spacing w:val="-7"/>
                <w:sz w:val="20"/>
              </w:rPr>
              <w:t xml:space="preserve"> </w:t>
            </w:r>
            <w:r>
              <w:rPr>
                <w:sz w:val="20"/>
              </w:rPr>
              <w:t>le</w:t>
            </w:r>
            <w:r>
              <w:rPr>
                <w:spacing w:val="-5"/>
                <w:sz w:val="20"/>
              </w:rPr>
              <w:t xml:space="preserve"> </w:t>
            </w:r>
            <w:r>
              <w:rPr>
                <w:sz w:val="20"/>
              </w:rPr>
              <w:t>realizeze</w:t>
            </w:r>
          </w:p>
          <w:p>
            <w:pPr>
              <w:pStyle w:val="TableParagraph"/>
              <w:spacing w:before="35" w:line="236" w:lineRule="exact"/>
              <w:ind w:left="45"/>
              <w:rPr>
                <w:sz w:val="20"/>
              </w:rPr>
            </w:pPr>
            <w:r>
              <w:rPr>
                <w:sz w:val="20"/>
              </w:rPr>
              <w:t>în Perioada de Mobilizare</w:t>
            </w:r>
          </w:p>
        </w:tc>
      </w:tr>
      <w:tr>
        <w:trPr>
          <w:trHeight w:val="484"/>
        </w:trPr>
        <w:tc>
          <w:tcPr>
            <w:tcW w:w="9077" w:type="dxa"/>
            <w:gridSpan w:val="2"/>
          </w:tcPr>
          <w:p>
            <w:pPr>
              <w:pStyle w:val="TableParagraph"/>
              <w:tabs>
                <w:tab w:val="left" w:pos="1731"/>
              </w:tabs>
              <w:spacing w:before="7" w:line="242" w:lineRule="exact"/>
              <w:ind w:right="2706"/>
              <w:rPr>
                <w:sz w:val="20"/>
              </w:rPr>
            </w:pPr>
            <w:r>
              <w:rPr>
                <w:sz w:val="20"/>
              </w:rPr>
              <w:t>Clauza</w:t>
            </w:r>
            <w:r>
              <w:rPr>
                <w:sz w:val="20"/>
              </w:rPr>
              <w:tab/>
              <w:t>- Perioada de Operare şi Serviciile de Operare 35b</w:t>
            </w:r>
          </w:p>
        </w:tc>
      </w:tr>
      <w:tr>
        <w:trPr>
          <w:trHeight w:val="237"/>
        </w:trPr>
        <w:tc>
          <w:tcPr>
            <w:tcW w:w="1800" w:type="dxa"/>
          </w:tcPr>
          <w:p>
            <w:pPr>
              <w:pStyle w:val="TableParagraph"/>
              <w:spacing w:line="217" w:lineRule="exact"/>
              <w:rPr>
                <w:sz w:val="20"/>
              </w:rPr>
            </w:pPr>
            <w:r>
              <w:rPr>
                <w:sz w:val="20"/>
              </w:rPr>
              <w:t>35b.6</w:t>
            </w:r>
          </w:p>
        </w:tc>
        <w:tc>
          <w:tcPr>
            <w:tcW w:w="7277" w:type="dxa"/>
          </w:tcPr>
          <w:p>
            <w:pPr>
              <w:pStyle w:val="TableParagraph"/>
              <w:spacing w:line="217" w:lineRule="exact"/>
              <w:ind w:left="39"/>
              <w:rPr>
                <w:sz w:val="20"/>
              </w:rPr>
            </w:pPr>
            <w:r>
              <w:rPr>
                <w:sz w:val="20"/>
              </w:rPr>
              <w:t>proprietatea asupra veniturilor</w:t>
            </w:r>
          </w:p>
        </w:tc>
      </w:tr>
      <w:tr>
        <w:trPr>
          <w:trHeight w:val="1338"/>
        </w:trPr>
        <w:tc>
          <w:tcPr>
            <w:tcW w:w="9077" w:type="dxa"/>
            <w:gridSpan w:val="2"/>
          </w:tcPr>
          <w:p>
            <w:pPr>
              <w:pStyle w:val="TableParagraph"/>
              <w:jc w:val="both"/>
              <w:rPr>
                <w:sz w:val="20"/>
              </w:rPr>
            </w:pPr>
            <w:r>
              <w:rPr>
                <w:sz w:val="20"/>
              </w:rPr>
              <w:t>Subclauza se completează cu următoarele alineate:</w:t>
            </w:r>
          </w:p>
          <w:p>
            <w:pPr>
              <w:pStyle w:val="TableParagraph"/>
              <w:spacing w:line="274" w:lineRule="exact"/>
              <w:ind w:left="45" w:right="22" w:hanging="5"/>
              <w:jc w:val="both"/>
              <w:rPr>
                <w:i/>
                <w:sz w:val="20"/>
              </w:rPr>
            </w:pPr>
            <w:r>
              <w:rPr>
                <w:i/>
                <w:sz w:val="20"/>
              </w:rPr>
              <w:t>”Veniturile obţinute din valorificarea Deşeurilor cu valoare de piaţă, rezultate în cadrul prestării Serviciilor de Operare, aparţin şi vor fi virate Beneficiarului Asociaţia. Veniturile obţinute din valorificarea compostului, rezultat în cadrul prestării Serviciilor de Operare, aparţin şi vor fi virate Beneficiarului Asociaţia.</w:t>
            </w:r>
          </w:p>
        </w:tc>
      </w:tr>
    </w:tbl>
    <w:p>
      <w:pPr>
        <w:spacing w:line="274" w:lineRule="exact"/>
        <w:jc w:val="both"/>
        <w:rPr>
          <w:sz w:val="20"/>
        </w:rPr>
        <w:sectPr>
          <w:pgSz w:w="11910" w:h="16840"/>
          <w:pgMar w:top="1580" w:right="960" w:bottom="860" w:left="1580" w:header="284" w:footer="675" w:gutter="0"/>
          <w:cols w:space="720"/>
        </w:sectPr>
      </w:pPr>
    </w:p>
    <w:p>
      <w:pPr>
        <w:rPr>
          <w:sz w:val="20"/>
        </w:rPr>
      </w:pPr>
    </w:p>
    <w:p>
      <w:pPr>
        <w:spacing w:before="12"/>
        <w:rPr>
          <w:sz w:val="27"/>
        </w:rPr>
      </w:pPr>
    </w:p>
    <w:tbl>
      <w:tblPr>
        <w:tblW w:w="0" w:type="auto"/>
        <w:tblInd w:w="1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0"/>
        <w:gridCol w:w="252"/>
        <w:gridCol w:w="7025"/>
      </w:tblGrid>
      <w:tr>
        <w:trPr>
          <w:trHeight w:val="728"/>
        </w:trPr>
        <w:tc>
          <w:tcPr>
            <w:tcW w:w="9077" w:type="dxa"/>
            <w:gridSpan w:val="3"/>
          </w:tcPr>
          <w:p>
            <w:pPr>
              <w:pStyle w:val="TableParagraph"/>
              <w:rPr>
                <w:i/>
                <w:sz w:val="20"/>
              </w:rPr>
            </w:pPr>
            <w:r>
              <w:rPr>
                <w:i/>
                <w:sz w:val="20"/>
              </w:rPr>
              <w:t>Condiţiile şi procedurile de valorificare a Deşeurilor cu valoare de piaţă, respectiv a compostului vor fi stabilite de Beneficiarul Asociaţia, care le va comunica</w:t>
            </w:r>
          </w:p>
          <w:p>
            <w:pPr>
              <w:pStyle w:val="TableParagraph"/>
              <w:spacing w:before="1" w:line="222" w:lineRule="exact"/>
              <w:rPr>
                <w:i/>
                <w:sz w:val="20"/>
              </w:rPr>
            </w:pPr>
            <w:r>
              <w:rPr>
                <w:i/>
                <w:sz w:val="20"/>
              </w:rPr>
              <w:t>Antreprenorului, acesta având obligaţia să le respecte.”</w:t>
            </w:r>
          </w:p>
        </w:tc>
      </w:tr>
      <w:tr>
        <w:trPr>
          <w:trHeight w:val="273"/>
        </w:trPr>
        <w:tc>
          <w:tcPr>
            <w:tcW w:w="2052" w:type="dxa"/>
            <w:gridSpan w:val="2"/>
            <w:tcBorders>
              <w:right w:val="single" w:sz="4" w:space="0" w:color="000000"/>
            </w:tcBorders>
          </w:tcPr>
          <w:p>
            <w:pPr>
              <w:pStyle w:val="TableParagraph"/>
              <w:rPr>
                <w:sz w:val="20"/>
              </w:rPr>
            </w:pPr>
            <w:r>
              <w:rPr>
                <w:sz w:val="20"/>
              </w:rPr>
              <w:t>35b.10</w:t>
            </w:r>
          </w:p>
        </w:tc>
        <w:tc>
          <w:tcPr>
            <w:tcW w:w="7025" w:type="dxa"/>
            <w:tcBorders>
              <w:left w:val="single" w:sz="4" w:space="0" w:color="000000"/>
            </w:tcBorders>
          </w:tcPr>
          <w:p>
            <w:pPr>
              <w:pStyle w:val="TableParagraph"/>
              <w:spacing w:before="17" w:line="236" w:lineRule="exact"/>
              <w:rPr>
                <w:sz w:val="20"/>
              </w:rPr>
            </w:pPr>
            <w:r>
              <w:rPr>
                <w:sz w:val="20"/>
              </w:rPr>
              <w:t>Sume Rezervate pentru Înlocuirea Bunurilor</w:t>
            </w:r>
          </w:p>
        </w:tc>
      </w:tr>
      <w:tr>
        <w:trPr>
          <w:trHeight w:val="1686"/>
        </w:trPr>
        <w:tc>
          <w:tcPr>
            <w:tcW w:w="9077" w:type="dxa"/>
            <w:gridSpan w:val="3"/>
          </w:tcPr>
          <w:p>
            <w:pPr>
              <w:pStyle w:val="TableParagraph"/>
              <w:jc w:val="both"/>
              <w:rPr>
                <w:sz w:val="20"/>
              </w:rPr>
            </w:pPr>
            <w:r>
              <w:rPr>
                <w:sz w:val="20"/>
              </w:rPr>
              <w:t>Subclauza se completează cu următorul alineat:</w:t>
            </w:r>
          </w:p>
          <w:p>
            <w:pPr>
              <w:pStyle w:val="TableParagraph"/>
              <w:spacing w:before="2"/>
              <w:ind w:right="24"/>
              <w:jc w:val="both"/>
              <w:rPr>
                <w:i/>
                <w:sz w:val="20"/>
              </w:rPr>
            </w:pPr>
            <w:r>
              <w:rPr>
                <w:i/>
                <w:sz w:val="20"/>
              </w:rPr>
              <w:t>”În momentul depunerii ofertelor, Antreprenorul va depune Programul de reinvestiri / înlocuiri, în care va cuprinde detalii cu privire la bunurile care vor face obiectul reinvestirilor / înlocuirilor, data / perioada realizării reinvestirii / înlocuirii, precum și valoarea</w:t>
            </w:r>
            <w:r>
              <w:rPr>
                <w:i/>
                <w:spacing w:val="-4"/>
                <w:sz w:val="20"/>
              </w:rPr>
              <w:t xml:space="preserve"> </w:t>
            </w:r>
            <w:r>
              <w:rPr>
                <w:i/>
                <w:sz w:val="20"/>
              </w:rPr>
              <w:t>reinvestirii</w:t>
            </w:r>
            <w:r>
              <w:rPr>
                <w:i/>
                <w:spacing w:val="-7"/>
                <w:sz w:val="20"/>
              </w:rPr>
              <w:t xml:space="preserve"> </w:t>
            </w:r>
            <w:r>
              <w:rPr>
                <w:i/>
                <w:sz w:val="20"/>
              </w:rPr>
              <w:t>/</w:t>
            </w:r>
            <w:r>
              <w:rPr>
                <w:i/>
                <w:spacing w:val="-3"/>
                <w:sz w:val="20"/>
              </w:rPr>
              <w:t xml:space="preserve"> </w:t>
            </w:r>
            <w:r>
              <w:rPr>
                <w:i/>
                <w:sz w:val="20"/>
              </w:rPr>
              <w:t>înlocuirii.</w:t>
            </w:r>
            <w:r>
              <w:rPr>
                <w:i/>
                <w:spacing w:val="-5"/>
                <w:sz w:val="20"/>
              </w:rPr>
              <w:t xml:space="preserve"> </w:t>
            </w:r>
            <w:r>
              <w:rPr>
                <w:i/>
                <w:sz w:val="20"/>
              </w:rPr>
              <w:t>În</w:t>
            </w:r>
            <w:r>
              <w:rPr>
                <w:i/>
                <w:spacing w:val="-2"/>
                <w:sz w:val="20"/>
              </w:rPr>
              <w:t xml:space="preserve"> </w:t>
            </w:r>
            <w:r>
              <w:rPr>
                <w:i/>
                <w:sz w:val="20"/>
              </w:rPr>
              <w:t>cadrul</w:t>
            </w:r>
            <w:r>
              <w:rPr>
                <w:i/>
                <w:spacing w:val="-3"/>
                <w:sz w:val="20"/>
              </w:rPr>
              <w:t xml:space="preserve"> </w:t>
            </w:r>
            <w:r>
              <w:rPr>
                <w:i/>
                <w:sz w:val="20"/>
              </w:rPr>
              <w:t>ofertei,</w:t>
            </w:r>
            <w:r>
              <w:rPr>
                <w:i/>
                <w:spacing w:val="-5"/>
                <w:sz w:val="20"/>
              </w:rPr>
              <w:t xml:space="preserve"> </w:t>
            </w:r>
            <w:r>
              <w:rPr>
                <w:i/>
                <w:sz w:val="20"/>
              </w:rPr>
              <w:t>valoarea</w:t>
            </w:r>
            <w:r>
              <w:rPr>
                <w:i/>
                <w:spacing w:val="-4"/>
                <w:sz w:val="20"/>
              </w:rPr>
              <w:t xml:space="preserve"> </w:t>
            </w:r>
            <w:r>
              <w:rPr>
                <w:i/>
                <w:sz w:val="20"/>
              </w:rPr>
              <w:t>reinvestirilor</w:t>
            </w:r>
            <w:r>
              <w:rPr>
                <w:i/>
                <w:spacing w:val="-5"/>
                <w:sz w:val="20"/>
              </w:rPr>
              <w:t xml:space="preserve"> </w:t>
            </w:r>
            <w:r>
              <w:rPr>
                <w:i/>
                <w:sz w:val="20"/>
              </w:rPr>
              <w:t>/</w:t>
            </w:r>
            <w:r>
              <w:rPr>
                <w:i/>
                <w:spacing w:val="-3"/>
                <w:sz w:val="20"/>
              </w:rPr>
              <w:t xml:space="preserve"> </w:t>
            </w:r>
            <w:r>
              <w:rPr>
                <w:i/>
                <w:sz w:val="20"/>
              </w:rPr>
              <w:t>înlocuirilor</w:t>
            </w:r>
            <w:r>
              <w:rPr>
                <w:i/>
                <w:spacing w:val="-6"/>
                <w:sz w:val="20"/>
              </w:rPr>
              <w:t xml:space="preserve"> </w:t>
            </w:r>
            <w:r>
              <w:rPr>
                <w:i/>
                <w:sz w:val="20"/>
              </w:rPr>
              <w:t>vor</w:t>
            </w:r>
            <w:r>
              <w:rPr>
                <w:i/>
                <w:spacing w:val="-5"/>
                <w:sz w:val="20"/>
              </w:rPr>
              <w:t xml:space="preserve"> </w:t>
            </w:r>
            <w:r>
              <w:rPr>
                <w:i/>
                <w:sz w:val="20"/>
              </w:rPr>
              <w:t>fi menționate în mod</w:t>
            </w:r>
            <w:r>
              <w:rPr>
                <w:i/>
                <w:spacing w:val="-1"/>
                <w:sz w:val="20"/>
              </w:rPr>
              <w:t xml:space="preserve"> </w:t>
            </w:r>
            <w:r>
              <w:rPr>
                <w:i/>
                <w:sz w:val="20"/>
              </w:rPr>
              <w:t>distinct.”</w:t>
            </w:r>
          </w:p>
        </w:tc>
      </w:tr>
      <w:tr>
        <w:trPr>
          <w:trHeight w:val="244"/>
        </w:trPr>
        <w:tc>
          <w:tcPr>
            <w:tcW w:w="9077" w:type="dxa"/>
            <w:gridSpan w:val="3"/>
          </w:tcPr>
          <w:p>
            <w:pPr>
              <w:pStyle w:val="TableParagraph"/>
              <w:spacing w:before="2" w:line="222" w:lineRule="exact"/>
              <w:rPr>
                <w:sz w:val="20"/>
              </w:rPr>
            </w:pPr>
            <w:r>
              <w:rPr>
                <w:sz w:val="20"/>
              </w:rPr>
              <w:t>Clauza 44 - Principii generale</w:t>
            </w:r>
          </w:p>
        </w:tc>
      </w:tr>
      <w:tr>
        <w:trPr>
          <w:trHeight w:val="241"/>
        </w:trPr>
        <w:tc>
          <w:tcPr>
            <w:tcW w:w="1800" w:type="dxa"/>
          </w:tcPr>
          <w:p>
            <w:pPr>
              <w:pStyle w:val="TableParagraph"/>
              <w:spacing w:line="222" w:lineRule="exact"/>
              <w:rPr>
                <w:sz w:val="20"/>
              </w:rPr>
            </w:pPr>
            <w:r>
              <w:rPr>
                <w:sz w:val="20"/>
              </w:rPr>
              <w:t>44.1</w:t>
            </w:r>
          </w:p>
        </w:tc>
        <w:tc>
          <w:tcPr>
            <w:tcW w:w="7277" w:type="dxa"/>
            <w:gridSpan w:val="2"/>
          </w:tcPr>
          <w:p>
            <w:pPr>
              <w:pStyle w:val="TableParagraph"/>
              <w:spacing w:line="222" w:lineRule="exact"/>
              <w:rPr>
                <w:sz w:val="20"/>
              </w:rPr>
            </w:pPr>
            <w:r>
              <w:rPr>
                <w:sz w:val="20"/>
              </w:rPr>
              <w:t>moneda sau monedele Contractului</w:t>
            </w:r>
          </w:p>
        </w:tc>
      </w:tr>
      <w:tr>
        <w:trPr>
          <w:trHeight w:val="244"/>
        </w:trPr>
        <w:tc>
          <w:tcPr>
            <w:tcW w:w="9077" w:type="dxa"/>
            <w:gridSpan w:val="3"/>
          </w:tcPr>
          <w:p>
            <w:pPr>
              <w:pStyle w:val="TableParagraph"/>
              <w:spacing w:before="2" w:line="222" w:lineRule="exact"/>
              <w:rPr>
                <w:sz w:val="20"/>
              </w:rPr>
            </w:pPr>
            <w:r>
              <w:rPr>
                <w:sz w:val="20"/>
              </w:rPr>
              <w:t>Clauza 45 - Valoarea Contractului</w:t>
            </w:r>
          </w:p>
        </w:tc>
      </w:tr>
      <w:tr>
        <w:trPr>
          <w:trHeight w:val="822"/>
        </w:trPr>
        <w:tc>
          <w:tcPr>
            <w:tcW w:w="1800" w:type="dxa"/>
          </w:tcPr>
          <w:p>
            <w:pPr>
              <w:pStyle w:val="TableParagraph"/>
              <w:rPr>
                <w:sz w:val="20"/>
              </w:rPr>
            </w:pPr>
            <w:r>
              <w:rPr>
                <w:sz w:val="20"/>
              </w:rPr>
              <w:t>45.4</w:t>
            </w:r>
          </w:p>
        </w:tc>
        <w:tc>
          <w:tcPr>
            <w:tcW w:w="7277" w:type="dxa"/>
            <w:gridSpan w:val="2"/>
          </w:tcPr>
          <w:p>
            <w:pPr>
              <w:pStyle w:val="TableParagraph"/>
              <w:tabs>
                <w:tab w:val="left" w:pos="1369"/>
                <w:tab w:val="left" w:pos="2738"/>
                <w:tab w:val="left" w:pos="5453"/>
                <w:tab w:val="left" w:pos="6887"/>
              </w:tabs>
              <w:spacing w:before="17" w:line="271" w:lineRule="auto"/>
              <w:ind w:right="22"/>
              <w:rPr>
                <w:sz w:val="20"/>
              </w:rPr>
            </w:pPr>
            <w:r>
              <w:rPr>
                <w:sz w:val="20"/>
              </w:rPr>
              <w:t>prevederile</w:t>
            </w:r>
            <w:r>
              <w:rPr>
                <w:spacing w:val="-13"/>
                <w:sz w:val="20"/>
              </w:rPr>
              <w:t xml:space="preserve"> </w:t>
            </w:r>
            <w:r>
              <w:rPr>
                <w:sz w:val="20"/>
              </w:rPr>
              <w:t>referitoare</w:t>
            </w:r>
            <w:r>
              <w:rPr>
                <w:spacing w:val="-12"/>
                <w:sz w:val="20"/>
              </w:rPr>
              <w:t xml:space="preserve"> </w:t>
            </w:r>
            <w:r>
              <w:rPr>
                <w:sz w:val="20"/>
              </w:rPr>
              <w:t>la</w:t>
            </w:r>
            <w:r>
              <w:rPr>
                <w:spacing w:val="-10"/>
                <w:sz w:val="20"/>
              </w:rPr>
              <w:t xml:space="preserve"> </w:t>
            </w:r>
            <w:r>
              <w:rPr>
                <w:sz w:val="20"/>
              </w:rPr>
              <w:t>măsurare</w:t>
            </w:r>
            <w:r>
              <w:rPr>
                <w:spacing w:val="-9"/>
                <w:sz w:val="20"/>
              </w:rPr>
              <w:t xml:space="preserve"> </w:t>
            </w:r>
            <w:r>
              <w:rPr>
                <w:sz w:val="20"/>
              </w:rPr>
              <w:t>şi</w:t>
            </w:r>
            <w:r>
              <w:rPr>
                <w:spacing w:val="-9"/>
                <w:sz w:val="20"/>
              </w:rPr>
              <w:t xml:space="preserve"> </w:t>
            </w:r>
            <w:r>
              <w:rPr>
                <w:sz w:val="20"/>
              </w:rPr>
              <w:t>evaluare</w:t>
            </w:r>
            <w:r>
              <w:rPr>
                <w:spacing w:val="-9"/>
                <w:sz w:val="20"/>
              </w:rPr>
              <w:t xml:space="preserve"> </w:t>
            </w:r>
            <w:r>
              <w:rPr>
                <w:sz w:val="20"/>
              </w:rPr>
              <w:t>pentru</w:t>
            </w:r>
            <w:r>
              <w:rPr>
                <w:spacing w:val="-10"/>
                <w:sz w:val="20"/>
              </w:rPr>
              <w:t xml:space="preserve"> </w:t>
            </w:r>
            <w:r>
              <w:rPr>
                <w:sz w:val="20"/>
              </w:rPr>
              <w:t>părţile</w:t>
            </w:r>
            <w:r>
              <w:rPr>
                <w:spacing w:val="-11"/>
                <w:sz w:val="20"/>
              </w:rPr>
              <w:t xml:space="preserve"> </w:t>
            </w:r>
            <w:r>
              <w:rPr>
                <w:sz w:val="20"/>
              </w:rPr>
              <w:t>din</w:t>
            </w:r>
            <w:r>
              <w:rPr>
                <w:spacing w:val="-10"/>
                <w:sz w:val="20"/>
              </w:rPr>
              <w:t xml:space="preserve"> </w:t>
            </w:r>
            <w:r>
              <w:rPr>
                <w:sz w:val="20"/>
              </w:rPr>
              <w:t>Lucrări plătibile</w:t>
            </w:r>
            <w:r>
              <w:rPr>
                <w:sz w:val="20"/>
              </w:rPr>
              <w:tab/>
              <w:t>conform</w:t>
            </w:r>
            <w:r>
              <w:rPr>
                <w:sz w:val="20"/>
              </w:rPr>
              <w:tab/>
              <w:t>cantităţilor/resurselor</w:t>
            </w:r>
            <w:r>
              <w:rPr>
                <w:sz w:val="20"/>
              </w:rPr>
              <w:tab/>
              <w:t>furnizate</w:t>
            </w:r>
            <w:r>
              <w:rPr>
                <w:sz w:val="20"/>
              </w:rPr>
              <w:tab/>
            </w:r>
            <w:r>
              <w:rPr>
                <w:spacing w:val="-6"/>
                <w:sz w:val="20"/>
              </w:rPr>
              <w:t>sau</w:t>
            </w:r>
          </w:p>
          <w:p>
            <w:pPr>
              <w:pStyle w:val="TableParagraph"/>
              <w:spacing w:line="236" w:lineRule="exact"/>
              <w:rPr>
                <w:sz w:val="20"/>
              </w:rPr>
            </w:pPr>
            <w:r>
              <w:rPr>
                <w:sz w:val="20"/>
              </w:rPr>
              <w:t>lucrărilor/activităţilor efectuate şi identificarea acestor părţi</w:t>
            </w:r>
          </w:p>
        </w:tc>
      </w:tr>
      <w:tr>
        <w:trPr>
          <w:trHeight w:val="241"/>
        </w:trPr>
        <w:tc>
          <w:tcPr>
            <w:tcW w:w="9077" w:type="dxa"/>
            <w:gridSpan w:val="3"/>
          </w:tcPr>
          <w:p>
            <w:pPr>
              <w:pStyle w:val="TableParagraph"/>
              <w:spacing w:line="222" w:lineRule="exact"/>
              <w:rPr>
                <w:sz w:val="20"/>
              </w:rPr>
            </w:pPr>
            <w:r>
              <w:rPr>
                <w:sz w:val="20"/>
              </w:rPr>
              <w:t>Clauza 45a - Compensaţia pentru obligaţia de serviciu public</w:t>
            </w:r>
          </w:p>
        </w:tc>
      </w:tr>
      <w:tr>
        <w:trPr>
          <w:trHeight w:val="822"/>
        </w:trPr>
        <w:tc>
          <w:tcPr>
            <w:tcW w:w="1800" w:type="dxa"/>
          </w:tcPr>
          <w:p>
            <w:pPr>
              <w:pStyle w:val="TableParagraph"/>
              <w:spacing w:before="2"/>
              <w:rPr>
                <w:sz w:val="20"/>
              </w:rPr>
            </w:pPr>
            <w:r>
              <w:rPr>
                <w:sz w:val="20"/>
              </w:rPr>
              <w:t>45a.1</w:t>
            </w:r>
          </w:p>
        </w:tc>
        <w:tc>
          <w:tcPr>
            <w:tcW w:w="7277" w:type="dxa"/>
            <w:gridSpan w:val="2"/>
          </w:tcPr>
          <w:p>
            <w:pPr>
              <w:pStyle w:val="TableParagraph"/>
              <w:spacing w:before="1" w:line="274" w:lineRule="exact"/>
              <w:ind w:right="20"/>
              <w:jc w:val="both"/>
              <w:rPr>
                <w:sz w:val="20"/>
              </w:rPr>
            </w:pPr>
            <w:r>
              <w:rPr>
                <w:sz w:val="20"/>
              </w:rPr>
              <w:t>prevederile</w:t>
            </w:r>
            <w:r>
              <w:rPr>
                <w:spacing w:val="-17"/>
                <w:sz w:val="20"/>
              </w:rPr>
              <w:t xml:space="preserve"> </w:t>
            </w:r>
            <w:r>
              <w:rPr>
                <w:sz w:val="20"/>
              </w:rPr>
              <w:t>referitoare</w:t>
            </w:r>
            <w:r>
              <w:rPr>
                <w:spacing w:val="-18"/>
                <w:sz w:val="20"/>
              </w:rPr>
              <w:t xml:space="preserve"> </w:t>
            </w:r>
            <w:r>
              <w:rPr>
                <w:sz w:val="20"/>
              </w:rPr>
              <w:t>la</w:t>
            </w:r>
            <w:r>
              <w:rPr>
                <w:spacing w:val="-17"/>
                <w:sz w:val="20"/>
              </w:rPr>
              <w:t xml:space="preserve"> </w:t>
            </w:r>
            <w:r>
              <w:rPr>
                <w:sz w:val="20"/>
              </w:rPr>
              <w:t>compensaţia</w:t>
            </w:r>
            <w:r>
              <w:rPr>
                <w:spacing w:val="-17"/>
                <w:sz w:val="20"/>
              </w:rPr>
              <w:t xml:space="preserve"> </w:t>
            </w:r>
            <w:r>
              <w:rPr>
                <w:sz w:val="20"/>
              </w:rPr>
              <w:t>pentru</w:t>
            </w:r>
            <w:r>
              <w:rPr>
                <w:spacing w:val="-14"/>
                <w:sz w:val="20"/>
              </w:rPr>
              <w:t xml:space="preserve"> </w:t>
            </w:r>
            <w:r>
              <w:rPr>
                <w:sz w:val="20"/>
              </w:rPr>
              <w:t>obligaţia</w:t>
            </w:r>
            <w:r>
              <w:rPr>
                <w:spacing w:val="-18"/>
                <w:sz w:val="20"/>
              </w:rPr>
              <w:t xml:space="preserve"> </w:t>
            </w:r>
            <w:r>
              <w:rPr>
                <w:sz w:val="20"/>
              </w:rPr>
              <w:t>de</w:t>
            </w:r>
            <w:r>
              <w:rPr>
                <w:spacing w:val="-16"/>
                <w:sz w:val="20"/>
              </w:rPr>
              <w:t xml:space="preserve"> </w:t>
            </w:r>
            <w:r>
              <w:rPr>
                <w:sz w:val="20"/>
              </w:rPr>
              <w:t>serviciu</w:t>
            </w:r>
            <w:r>
              <w:rPr>
                <w:spacing w:val="-14"/>
                <w:sz w:val="20"/>
              </w:rPr>
              <w:t xml:space="preserve"> </w:t>
            </w:r>
            <w:r>
              <w:rPr>
                <w:sz w:val="20"/>
              </w:rPr>
              <w:t>public acordată Antreprenorului, dacă este cazul, pentru prestarea Serviciilor de</w:t>
            </w:r>
            <w:r>
              <w:rPr>
                <w:spacing w:val="-3"/>
                <w:sz w:val="20"/>
              </w:rPr>
              <w:t xml:space="preserve"> </w:t>
            </w:r>
            <w:r>
              <w:rPr>
                <w:sz w:val="20"/>
              </w:rPr>
              <w:t>Operare</w:t>
            </w:r>
          </w:p>
        </w:tc>
      </w:tr>
      <w:tr>
        <w:trPr>
          <w:trHeight w:val="272"/>
        </w:trPr>
        <w:tc>
          <w:tcPr>
            <w:tcW w:w="9077" w:type="dxa"/>
            <w:gridSpan w:val="3"/>
          </w:tcPr>
          <w:p>
            <w:pPr>
              <w:pStyle w:val="TableParagraph"/>
              <w:spacing w:before="16" w:line="236" w:lineRule="exact"/>
              <w:rPr>
                <w:sz w:val="20"/>
              </w:rPr>
            </w:pPr>
            <w:r>
              <w:rPr>
                <w:sz w:val="20"/>
              </w:rPr>
              <w:t>Clauza 47 - Sume Reţinute</w:t>
            </w:r>
          </w:p>
        </w:tc>
      </w:tr>
      <w:tr>
        <w:trPr>
          <w:trHeight w:val="1096"/>
        </w:trPr>
        <w:tc>
          <w:tcPr>
            <w:tcW w:w="1800" w:type="dxa"/>
          </w:tcPr>
          <w:p>
            <w:pPr>
              <w:pStyle w:val="TableParagraph"/>
              <w:spacing w:before="2"/>
              <w:rPr>
                <w:sz w:val="20"/>
              </w:rPr>
            </w:pPr>
            <w:r>
              <w:rPr>
                <w:sz w:val="20"/>
              </w:rPr>
              <w:t>47.1</w:t>
            </w:r>
          </w:p>
        </w:tc>
        <w:tc>
          <w:tcPr>
            <w:tcW w:w="7277" w:type="dxa"/>
            <w:gridSpan w:val="2"/>
          </w:tcPr>
          <w:p>
            <w:pPr>
              <w:pStyle w:val="TableParagraph"/>
              <w:spacing w:before="19"/>
              <w:jc w:val="both"/>
              <w:rPr>
                <w:sz w:val="20"/>
              </w:rPr>
            </w:pPr>
            <w:r>
              <w:rPr>
                <w:sz w:val="20"/>
              </w:rPr>
              <w:t>Subclauza se completează cu următorul alineat:</w:t>
            </w:r>
          </w:p>
          <w:p>
            <w:pPr>
              <w:pStyle w:val="TableParagraph"/>
              <w:spacing w:before="4" w:line="270" w:lineRule="atLeast"/>
              <w:ind w:right="21"/>
              <w:jc w:val="both"/>
              <w:rPr>
                <w:i/>
                <w:sz w:val="20"/>
              </w:rPr>
            </w:pPr>
            <w:r>
              <w:rPr>
                <w:i/>
                <w:sz w:val="20"/>
              </w:rPr>
              <w:t>”Pentru</w:t>
            </w:r>
            <w:r>
              <w:rPr>
                <w:i/>
                <w:spacing w:val="-14"/>
                <w:sz w:val="20"/>
              </w:rPr>
              <w:t xml:space="preserve"> </w:t>
            </w:r>
            <w:r>
              <w:rPr>
                <w:i/>
                <w:sz w:val="20"/>
              </w:rPr>
              <w:t>Perioada</w:t>
            </w:r>
            <w:r>
              <w:rPr>
                <w:i/>
                <w:spacing w:val="-15"/>
                <w:sz w:val="20"/>
              </w:rPr>
              <w:t xml:space="preserve"> </w:t>
            </w:r>
            <w:r>
              <w:rPr>
                <w:i/>
                <w:sz w:val="20"/>
              </w:rPr>
              <w:t>de</w:t>
            </w:r>
            <w:r>
              <w:rPr>
                <w:i/>
                <w:spacing w:val="-16"/>
                <w:sz w:val="20"/>
              </w:rPr>
              <w:t xml:space="preserve"> </w:t>
            </w:r>
            <w:r>
              <w:rPr>
                <w:i/>
                <w:sz w:val="20"/>
              </w:rPr>
              <w:t>Operare</w:t>
            </w:r>
            <w:r>
              <w:rPr>
                <w:i/>
                <w:spacing w:val="-18"/>
                <w:sz w:val="20"/>
              </w:rPr>
              <w:t xml:space="preserve"> </w:t>
            </w:r>
            <w:r>
              <w:rPr>
                <w:i/>
                <w:sz w:val="20"/>
              </w:rPr>
              <w:t>se</w:t>
            </w:r>
            <w:r>
              <w:rPr>
                <w:i/>
                <w:spacing w:val="-15"/>
                <w:sz w:val="20"/>
              </w:rPr>
              <w:t xml:space="preserve"> </w:t>
            </w:r>
            <w:r>
              <w:rPr>
                <w:i/>
                <w:sz w:val="20"/>
              </w:rPr>
              <w:t>vor</w:t>
            </w:r>
            <w:r>
              <w:rPr>
                <w:i/>
                <w:spacing w:val="-20"/>
                <w:sz w:val="20"/>
              </w:rPr>
              <w:t xml:space="preserve"> </w:t>
            </w:r>
            <w:r>
              <w:rPr>
                <w:i/>
                <w:sz w:val="20"/>
              </w:rPr>
              <w:t>aplica</w:t>
            </w:r>
            <w:r>
              <w:rPr>
                <w:i/>
                <w:spacing w:val="-15"/>
                <w:sz w:val="20"/>
              </w:rPr>
              <w:t xml:space="preserve"> </w:t>
            </w:r>
            <w:r>
              <w:rPr>
                <w:i/>
                <w:sz w:val="20"/>
              </w:rPr>
              <w:t>în</w:t>
            </w:r>
            <w:r>
              <w:rPr>
                <w:i/>
                <w:spacing w:val="-17"/>
                <w:sz w:val="20"/>
              </w:rPr>
              <w:t xml:space="preserve"> </w:t>
            </w:r>
            <w:r>
              <w:rPr>
                <w:i/>
                <w:sz w:val="20"/>
              </w:rPr>
              <w:t>mod</w:t>
            </w:r>
            <w:r>
              <w:rPr>
                <w:i/>
                <w:spacing w:val="-13"/>
                <w:sz w:val="20"/>
              </w:rPr>
              <w:t xml:space="preserve"> </w:t>
            </w:r>
            <w:r>
              <w:rPr>
                <w:i/>
                <w:sz w:val="20"/>
              </w:rPr>
              <w:t>corespunzător</w:t>
            </w:r>
            <w:r>
              <w:rPr>
                <w:i/>
                <w:spacing w:val="-18"/>
                <w:sz w:val="20"/>
              </w:rPr>
              <w:t xml:space="preserve"> </w:t>
            </w:r>
            <w:r>
              <w:rPr>
                <w:i/>
                <w:sz w:val="20"/>
              </w:rPr>
              <w:t>aceleași prevederi de mai sus, cu mențiunea că aceste rețineri vor fi realizate pentru întreținerea periodică, inclusiv pentru reparații</w:t>
            </w:r>
            <w:r>
              <w:rPr>
                <w:i/>
                <w:spacing w:val="-11"/>
                <w:sz w:val="20"/>
              </w:rPr>
              <w:t xml:space="preserve"> </w:t>
            </w:r>
            <w:r>
              <w:rPr>
                <w:i/>
                <w:sz w:val="20"/>
              </w:rPr>
              <w:t>capitale.”</w:t>
            </w:r>
          </w:p>
        </w:tc>
      </w:tr>
      <w:tr>
        <w:trPr>
          <w:trHeight w:val="244"/>
        </w:trPr>
        <w:tc>
          <w:tcPr>
            <w:tcW w:w="9077" w:type="dxa"/>
            <w:gridSpan w:val="3"/>
          </w:tcPr>
          <w:p>
            <w:pPr>
              <w:pStyle w:val="TableParagraph"/>
              <w:spacing w:before="2" w:line="222" w:lineRule="exact"/>
              <w:rPr>
                <w:sz w:val="20"/>
              </w:rPr>
            </w:pPr>
            <w:r>
              <w:rPr>
                <w:sz w:val="20"/>
              </w:rPr>
              <w:t>Clauza 50 - Plăţi</w:t>
            </w:r>
          </w:p>
        </w:tc>
      </w:tr>
      <w:tr>
        <w:trPr>
          <w:trHeight w:val="241"/>
        </w:trPr>
        <w:tc>
          <w:tcPr>
            <w:tcW w:w="1800" w:type="dxa"/>
          </w:tcPr>
          <w:p>
            <w:pPr>
              <w:pStyle w:val="TableParagraph"/>
              <w:spacing w:line="222" w:lineRule="exact"/>
              <w:rPr>
                <w:sz w:val="20"/>
              </w:rPr>
            </w:pPr>
            <w:r>
              <w:rPr>
                <w:sz w:val="20"/>
              </w:rPr>
              <w:t>50.5</w:t>
            </w:r>
          </w:p>
        </w:tc>
        <w:tc>
          <w:tcPr>
            <w:tcW w:w="7277" w:type="dxa"/>
            <w:gridSpan w:val="2"/>
          </w:tcPr>
          <w:p>
            <w:pPr>
              <w:pStyle w:val="TableParagraph"/>
              <w:spacing w:line="222" w:lineRule="exact"/>
              <w:rPr>
                <w:sz w:val="20"/>
              </w:rPr>
            </w:pPr>
            <w:r>
              <w:rPr>
                <w:sz w:val="20"/>
              </w:rPr>
              <w:t>Plata</w:t>
            </w:r>
          </w:p>
        </w:tc>
      </w:tr>
      <w:tr>
        <w:trPr>
          <w:trHeight w:val="244"/>
        </w:trPr>
        <w:tc>
          <w:tcPr>
            <w:tcW w:w="1800" w:type="dxa"/>
          </w:tcPr>
          <w:p>
            <w:pPr>
              <w:pStyle w:val="TableParagraph"/>
              <w:spacing w:before="2" w:line="222" w:lineRule="exact"/>
              <w:rPr>
                <w:sz w:val="20"/>
              </w:rPr>
            </w:pPr>
            <w:r>
              <w:rPr>
                <w:sz w:val="20"/>
              </w:rPr>
              <w:t>51.4</w:t>
            </w:r>
          </w:p>
        </w:tc>
        <w:tc>
          <w:tcPr>
            <w:tcW w:w="7277" w:type="dxa"/>
            <w:gridSpan w:val="2"/>
          </w:tcPr>
          <w:p>
            <w:pPr>
              <w:pStyle w:val="TableParagraph"/>
              <w:spacing w:before="2" w:line="222" w:lineRule="exact"/>
              <w:rPr>
                <w:sz w:val="20"/>
              </w:rPr>
            </w:pPr>
            <w:r>
              <w:rPr>
                <w:sz w:val="20"/>
              </w:rPr>
              <w:t>Plăţi finale</w:t>
            </w:r>
          </w:p>
        </w:tc>
      </w:tr>
      <w:tr>
        <w:trPr>
          <w:trHeight w:val="241"/>
        </w:trPr>
        <w:tc>
          <w:tcPr>
            <w:tcW w:w="9077" w:type="dxa"/>
            <w:gridSpan w:val="3"/>
          </w:tcPr>
          <w:p>
            <w:pPr>
              <w:pStyle w:val="TableParagraph"/>
              <w:spacing w:line="222" w:lineRule="exact"/>
              <w:rPr>
                <w:sz w:val="20"/>
              </w:rPr>
            </w:pPr>
            <w:r>
              <w:rPr>
                <w:sz w:val="20"/>
              </w:rPr>
              <w:t>Clauza 68 - Riscuri, alocarea riscurilor şi despăgubiri</w:t>
            </w:r>
          </w:p>
        </w:tc>
      </w:tr>
      <w:tr>
        <w:trPr>
          <w:trHeight w:val="5601"/>
        </w:trPr>
        <w:tc>
          <w:tcPr>
            <w:tcW w:w="1800" w:type="dxa"/>
          </w:tcPr>
          <w:p>
            <w:pPr>
              <w:pStyle w:val="TableParagraph"/>
              <w:spacing w:before="2"/>
              <w:rPr>
                <w:sz w:val="20"/>
              </w:rPr>
            </w:pPr>
            <w:r>
              <w:rPr>
                <w:sz w:val="20"/>
              </w:rPr>
              <w:t>68.1</w:t>
            </w:r>
          </w:p>
        </w:tc>
        <w:tc>
          <w:tcPr>
            <w:tcW w:w="7277" w:type="dxa"/>
            <w:gridSpan w:val="2"/>
          </w:tcPr>
          <w:p>
            <w:pPr>
              <w:pStyle w:val="TableParagraph"/>
              <w:spacing w:before="2" w:line="225" w:lineRule="exact"/>
              <w:jc w:val="both"/>
              <w:rPr>
                <w:sz w:val="20"/>
              </w:rPr>
            </w:pPr>
            <w:r>
              <w:rPr>
                <w:sz w:val="20"/>
              </w:rPr>
              <w:t>Riscurile Beneficiarului în Perioada de Operare</w:t>
            </w:r>
          </w:p>
          <w:p>
            <w:pPr>
              <w:pStyle w:val="TableParagraph"/>
              <w:numPr>
                <w:ilvl w:val="0"/>
                <w:numId w:val="2"/>
              </w:numPr>
              <w:tabs>
                <w:tab w:val="left" w:pos="396"/>
              </w:tabs>
              <w:spacing w:before="12" w:line="204" w:lineRule="auto"/>
              <w:ind w:right="23"/>
              <w:jc w:val="both"/>
              <w:rPr>
                <w:sz w:val="20"/>
              </w:rPr>
            </w:pPr>
            <w:r>
              <w:rPr>
                <w:b/>
                <w:sz w:val="20"/>
              </w:rPr>
              <w:t xml:space="preserve">Restricţionarea accesului pe amplasamente </w:t>
            </w:r>
            <w:r>
              <w:rPr>
                <w:sz w:val="20"/>
              </w:rPr>
              <w:t>- În urma unei acţiuni în instanţă un fost sau pretins proprietar poate obţine un ordin de restricţionare a accesului. Procent alocare risc pentru Beneficiar -</w:t>
            </w:r>
            <w:r>
              <w:rPr>
                <w:spacing w:val="-1"/>
                <w:sz w:val="20"/>
              </w:rPr>
              <w:t xml:space="preserve"> </w:t>
            </w:r>
            <w:r>
              <w:rPr>
                <w:sz w:val="20"/>
              </w:rPr>
              <w:t>100%;</w:t>
            </w:r>
          </w:p>
          <w:p>
            <w:pPr>
              <w:pStyle w:val="TableParagraph"/>
              <w:numPr>
                <w:ilvl w:val="0"/>
                <w:numId w:val="2"/>
              </w:numPr>
              <w:tabs>
                <w:tab w:val="left" w:pos="396"/>
              </w:tabs>
              <w:spacing w:line="204" w:lineRule="auto"/>
              <w:ind w:right="21"/>
              <w:jc w:val="both"/>
              <w:rPr>
                <w:sz w:val="20"/>
              </w:rPr>
            </w:pPr>
            <w:r>
              <w:rPr>
                <w:b/>
                <w:sz w:val="20"/>
              </w:rPr>
              <w:t>Restricţii</w:t>
            </w:r>
            <w:r>
              <w:rPr>
                <w:b/>
                <w:spacing w:val="-11"/>
                <w:sz w:val="20"/>
              </w:rPr>
              <w:t xml:space="preserve"> </w:t>
            </w:r>
            <w:r>
              <w:rPr>
                <w:b/>
                <w:sz w:val="20"/>
              </w:rPr>
              <w:t>induse</w:t>
            </w:r>
            <w:r>
              <w:rPr>
                <w:b/>
                <w:spacing w:val="-12"/>
                <w:sz w:val="20"/>
              </w:rPr>
              <w:t xml:space="preserve"> </w:t>
            </w:r>
            <w:r>
              <w:rPr>
                <w:b/>
                <w:sz w:val="20"/>
              </w:rPr>
              <w:t>de</w:t>
            </w:r>
            <w:r>
              <w:rPr>
                <w:b/>
                <w:spacing w:val="-10"/>
                <w:sz w:val="20"/>
              </w:rPr>
              <w:t xml:space="preserve"> </w:t>
            </w:r>
            <w:r>
              <w:rPr>
                <w:b/>
                <w:sz w:val="20"/>
              </w:rPr>
              <w:t>folosinţa</w:t>
            </w:r>
            <w:r>
              <w:rPr>
                <w:b/>
                <w:spacing w:val="-14"/>
                <w:sz w:val="20"/>
              </w:rPr>
              <w:t xml:space="preserve"> </w:t>
            </w:r>
            <w:r>
              <w:rPr>
                <w:b/>
                <w:sz w:val="20"/>
              </w:rPr>
              <w:t>terenurilor</w:t>
            </w:r>
            <w:r>
              <w:rPr>
                <w:b/>
                <w:spacing w:val="-12"/>
                <w:sz w:val="20"/>
              </w:rPr>
              <w:t xml:space="preserve"> </w:t>
            </w:r>
            <w:r>
              <w:rPr>
                <w:b/>
                <w:sz w:val="20"/>
              </w:rPr>
              <w:t>învecinate</w:t>
            </w:r>
            <w:r>
              <w:rPr>
                <w:b/>
                <w:spacing w:val="-11"/>
                <w:sz w:val="20"/>
              </w:rPr>
              <w:t xml:space="preserve"> </w:t>
            </w:r>
            <w:r>
              <w:rPr>
                <w:sz w:val="20"/>
              </w:rPr>
              <w:t>-</w:t>
            </w:r>
            <w:r>
              <w:rPr>
                <w:spacing w:val="-11"/>
                <w:sz w:val="20"/>
              </w:rPr>
              <w:t xml:space="preserve"> </w:t>
            </w:r>
            <w:r>
              <w:rPr>
                <w:sz w:val="20"/>
              </w:rPr>
              <w:t>Pe</w:t>
            </w:r>
            <w:r>
              <w:rPr>
                <w:spacing w:val="-14"/>
                <w:sz w:val="20"/>
              </w:rPr>
              <w:t xml:space="preserve"> </w:t>
            </w:r>
            <w:r>
              <w:rPr>
                <w:sz w:val="20"/>
              </w:rPr>
              <w:t>durata Contractului PEO folosinţa terenurilor învecinate poate suferi modificări care pot genera un impact negativ asupra proiectului. Procent alocare risc pentru Beneficiar -</w:t>
            </w:r>
            <w:r>
              <w:rPr>
                <w:spacing w:val="-10"/>
                <w:sz w:val="20"/>
              </w:rPr>
              <w:t xml:space="preserve"> </w:t>
            </w:r>
            <w:r>
              <w:rPr>
                <w:sz w:val="20"/>
              </w:rPr>
              <w:t>100%;</w:t>
            </w:r>
          </w:p>
          <w:p>
            <w:pPr>
              <w:pStyle w:val="TableParagraph"/>
              <w:numPr>
                <w:ilvl w:val="0"/>
                <w:numId w:val="2"/>
              </w:numPr>
              <w:tabs>
                <w:tab w:val="left" w:pos="396"/>
              </w:tabs>
              <w:spacing w:line="204" w:lineRule="auto"/>
              <w:ind w:right="22"/>
              <w:jc w:val="both"/>
              <w:rPr>
                <w:sz w:val="20"/>
              </w:rPr>
            </w:pPr>
            <w:r>
              <w:rPr>
                <w:b/>
                <w:sz w:val="20"/>
              </w:rPr>
              <w:t xml:space="preserve">Fenomene meteo extreme </w:t>
            </w:r>
            <w:r>
              <w:rPr>
                <w:sz w:val="20"/>
              </w:rPr>
              <w:t>- inundarea întregului amplasament - În cazul unor ploi torenţiale poate avea loc inundarea amplasamentului, ducând la sistarea activităţii. Aceasta situaţie nu este determinată şi nici favorizată de operarea neconformă a instalaţiilor. Procent alocare risc pentru Beneficiar -</w:t>
            </w:r>
            <w:r>
              <w:rPr>
                <w:spacing w:val="-9"/>
                <w:sz w:val="20"/>
              </w:rPr>
              <w:t xml:space="preserve"> </w:t>
            </w:r>
            <w:r>
              <w:rPr>
                <w:sz w:val="20"/>
              </w:rPr>
              <w:t>50%;</w:t>
            </w:r>
          </w:p>
          <w:p>
            <w:pPr>
              <w:pStyle w:val="TableParagraph"/>
              <w:numPr>
                <w:ilvl w:val="0"/>
                <w:numId w:val="2"/>
              </w:numPr>
              <w:tabs>
                <w:tab w:val="left" w:pos="396"/>
              </w:tabs>
              <w:spacing w:line="204" w:lineRule="auto"/>
              <w:ind w:right="21"/>
              <w:jc w:val="both"/>
              <w:rPr>
                <w:sz w:val="20"/>
              </w:rPr>
            </w:pPr>
            <w:r>
              <w:rPr>
                <w:b/>
                <w:sz w:val="20"/>
              </w:rPr>
              <w:t xml:space="preserve">Necorelări în atribuirea contractelor de delegare din cadrul SMID </w:t>
            </w:r>
            <w:r>
              <w:rPr>
                <w:sz w:val="20"/>
              </w:rPr>
              <w:t>- La data începerii activităţii de operare a instalaţiilor, delegarea activităţii de colectare şi transport nu este atribuită şi se estimează</w:t>
            </w:r>
            <w:r>
              <w:rPr>
                <w:spacing w:val="-11"/>
                <w:sz w:val="20"/>
              </w:rPr>
              <w:t xml:space="preserve"> </w:t>
            </w:r>
            <w:r>
              <w:rPr>
                <w:sz w:val="20"/>
              </w:rPr>
              <w:t>o</w:t>
            </w:r>
            <w:r>
              <w:rPr>
                <w:spacing w:val="-13"/>
                <w:sz w:val="20"/>
              </w:rPr>
              <w:t xml:space="preserve"> </w:t>
            </w:r>
            <w:r>
              <w:rPr>
                <w:sz w:val="20"/>
              </w:rPr>
              <w:t>perioadă</w:t>
            </w:r>
            <w:r>
              <w:rPr>
                <w:spacing w:val="-12"/>
                <w:sz w:val="20"/>
              </w:rPr>
              <w:t xml:space="preserve"> </w:t>
            </w:r>
            <w:r>
              <w:rPr>
                <w:sz w:val="20"/>
              </w:rPr>
              <w:t>mai</w:t>
            </w:r>
            <w:r>
              <w:rPr>
                <w:spacing w:val="-11"/>
                <w:sz w:val="20"/>
              </w:rPr>
              <w:t xml:space="preserve"> </w:t>
            </w:r>
            <w:r>
              <w:rPr>
                <w:sz w:val="20"/>
              </w:rPr>
              <w:t>mare</w:t>
            </w:r>
            <w:r>
              <w:rPr>
                <w:spacing w:val="-13"/>
                <w:sz w:val="20"/>
              </w:rPr>
              <w:t xml:space="preserve"> </w:t>
            </w:r>
            <w:r>
              <w:rPr>
                <w:sz w:val="20"/>
              </w:rPr>
              <w:t>de</w:t>
            </w:r>
            <w:r>
              <w:rPr>
                <w:spacing w:val="-14"/>
                <w:sz w:val="20"/>
              </w:rPr>
              <w:t xml:space="preserve"> </w:t>
            </w:r>
            <w:r>
              <w:rPr>
                <w:sz w:val="20"/>
              </w:rPr>
              <w:t>trei</w:t>
            </w:r>
            <w:r>
              <w:rPr>
                <w:spacing w:val="-11"/>
                <w:sz w:val="20"/>
              </w:rPr>
              <w:t xml:space="preserve"> </w:t>
            </w:r>
            <w:r>
              <w:rPr>
                <w:sz w:val="20"/>
              </w:rPr>
              <w:t>luni</w:t>
            </w:r>
            <w:r>
              <w:rPr>
                <w:spacing w:val="-12"/>
                <w:sz w:val="20"/>
              </w:rPr>
              <w:t xml:space="preserve"> </w:t>
            </w:r>
            <w:r>
              <w:rPr>
                <w:sz w:val="20"/>
              </w:rPr>
              <w:t>până</w:t>
            </w:r>
            <w:r>
              <w:rPr>
                <w:spacing w:val="-14"/>
                <w:sz w:val="20"/>
              </w:rPr>
              <w:t xml:space="preserve"> </w:t>
            </w:r>
            <w:r>
              <w:rPr>
                <w:sz w:val="20"/>
              </w:rPr>
              <w:t>la</w:t>
            </w:r>
            <w:r>
              <w:rPr>
                <w:spacing w:val="-12"/>
                <w:sz w:val="20"/>
              </w:rPr>
              <w:t xml:space="preserve"> </w:t>
            </w:r>
            <w:r>
              <w:rPr>
                <w:sz w:val="20"/>
              </w:rPr>
              <w:t>atribuirea</w:t>
            </w:r>
            <w:r>
              <w:rPr>
                <w:spacing w:val="-13"/>
                <w:sz w:val="20"/>
              </w:rPr>
              <w:t xml:space="preserve"> </w:t>
            </w:r>
            <w:r>
              <w:rPr>
                <w:sz w:val="20"/>
              </w:rPr>
              <w:t>acestui contract. Procent alocare risc pentru Beneficiar -</w:t>
            </w:r>
            <w:r>
              <w:rPr>
                <w:spacing w:val="-6"/>
                <w:sz w:val="20"/>
              </w:rPr>
              <w:t xml:space="preserve"> </w:t>
            </w:r>
            <w:r>
              <w:rPr>
                <w:sz w:val="20"/>
              </w:rPr>
              <w:t>100%;</w:t>
            </w:r>
          </w:p>
          <w:p>
            <w:pPr>
              <w:pStyle w:val="TableParagraph"/>
              <w:numPr>
                <w:ilvl w:val="0"/>
                <w:numId w:val="2"/>
              </w:numPr>
              <w:tabs>
                <w:tab w:val="left" w:pos="396"/>
              </w:tabs>
              <w:spacing w:line="204" w:lineRule="auto"/>
              <w:ind w:right="20"/>
              <w:jc w:val="both"/>
              <w:rPr>
                <w:sz w:val="20"/>
              </w:rPr>
            </w:pPr>
            <w:r>
              <w:rPr>
                <w:b/>
                <w:sz w:val="20"/>
              </w:rPr>
              <w:t xml:space="preserve">Intervenţii la infrastructura </w:t>
            </w:r>
            <w:r>
              <w:rPr>
                <w:sz w:val="20"/>
              </w:rPr>
              <w:t>rutieră - Lucrările de infrastructură derulate de autorităţile publice locale (intervenţii planificate) împiedică transportul deşeurilor între instalaţii, serviciul nemaiputând fi prestat la standardele stabilite. Procent alocare risc pentru Beneficiar -</w:t>
            </w:r>
            <w:r>
              <w:rPr>
                <w:spacing w:val="-2"/>
                <w:sz w:val="20"/>
              </w:rPr>
              <w:t xml:space="preserve"> </w:t>
            </w:r>
            <w:r>
              <w:rPr>
                <w:sz w:val="20"/>
              </w:rPr>
              <w:t>50%;</w:t>
            </w:r>
          </w:p>
          <w:p>
            <w:pPr>
              <w:pStyle w:val="TableParagraph"/>
              <w:numPr>
                <w:ilvl w:val="0"/>
                <w:numId w:val="2"/>
              </w:numPr>
              <w:tabs>
                <w:tab w:val="left" w:pos="396"/>
              </w:tabs>
              <w:spacing w:line="191" w:lineRule="exact"/>
              <w:jc w:val="both"/>
              <w:rPr>
                <w:b/>
                <w:sz w:val="20"/>
              </w:rPr>
            </w:pPr>
            <w:r>
              <w:rPr>
                <w:b/>
                <w:sz w:val="20"/>
              </w:rPr>
              <w:t>Afectarea infrastructurii rutiere în urma dezastrelor</w:t>
            </w:r>
            <w:r>
              <w:rPr>
                <w:b/>
                <w:spacing w:val="-14"/>
                <w:sz w:val="20"/>
              </w:rPr>
              <w:t xml:space="preserve"> </w:t>
            </w:r>
            <w:r>
              <w:rPr>
                <w:b/>
                <w:sz w:val="20"/>
              </w:rPr>
              <w:t>naturale</w:t>
            </w:r>
          </w:p>
          <w:p>
            <w:pPr>
              <w:pStyle w:val="TableParagraph"/>
              <w:spacing w:before="7" w:line="206" w:lineRule="exact"/>
              <w:ind w:left="395" w:right="20"/>
              <w:jc w:val="both"/>
              <w:rPr>
                <w:sz w:val="20"/>
              </w:rPr>
            </w:pPr>
            <w:r>
              <w:rPr>
                <w:sz w:val="20"/>
              </w:rPr>
              <w:t>– Afectarea infrastructurii rutiere în urma producerii de dezastre naturale (ex. drumuri surpate, poduri rupte de la inundaţii) poate</w:t>
            </w:r>
          </w:p>
        </w:tc>
      </w:tr>
    </w:tbl>
    <w:p>
      <w:pPr>
        <w:spacing w:line="206" w:lineRule="exact"/>
        <w:jc w:val="both"/>
        <w:rPr>
          <w:sz w:val="20"/>
        </w:rPr>
        <w:sectPr>
          <w:pgSz w:w="11910" w:h="16840"/>
          <w:pgMar w:top="1580" w:right="960" w:bottom="860" w:left="1580" w:header="284" w:footer="675" w:gutter="0"/>
          <w:cols w:space="720"/>
        </w:sectPr>
      </w:pPr>
    </w:p>
    <w:p>
      <w:pPr>
        <w:rPr>
          <w:sz w:val="20"/>
        </w:rPr>
      </w:pPr>
    </w:p>
    <w:p>
      <w:pPr>
        <w:spacing w:before="12"/>
        <w:rPr>
          <w:sz w:val="27"/>
        </w:rPr>
      </w:pPr>
    </w:p>
    <w:tbl>
      <w:tblPr>
        <w:tblW w:w="0" w:type="auto"/>
        <w:tblInd w:w="1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00"/>
        <w:gridCol w:w="7277"/>
      </w:tblGrid>
      <w:tr>
        <w:trPr>
          <w:trHeight w:val="11985"/>
        </w:trPr>
        <w:tc>
          <w:tcPr>
            <w:tcW w:w="1800" w:type="dxa"/>
          </w:tcPr>
          <w:p>
            <w:pPr>
              <w:pStyle w:val="TableParagraph"/>
              <w:ind w:left="0"/>
              <w:rPr>
                <w:rFonts w:ascii="Times New Roman"/>
                <w:sz w:val="18"/>
              </w:rPr>
            </w:pPr>
          </w:p>
        </w:tc>
        <w:tc>
          <w:tcPr>
            <w:tcW w:w="7277" w:type="dxa"/>
          </w:tcPr>
          <w:p>
            <w:pPr>
              <w:pStyle w:val="TableParagraph"/>
              <w:spacing w:line="204" w:lineRule="auto"/>
              <w:ind w:left="395" w:right="22"/>
              <w:jc w:val="both"/>
              <w:rPr>
                <w:sz w:val="20"/>
              </w:rPr>
            </w:pPr>
            <w:r>
              <w:rPr>
                <w:sz w:val="20"/>
              </w:rPr>
              <w:t>restricţiona transportul deşeurilor între instalaţii, ceea ce poate conduce la costuri mai mari, mai ales pentru activitatea de</w:t>
            </w:r>
            <w:r>
              <w:rPr>
                <w:spacing w:val="-37"/>
                <w:sz w:val="20"/>
              </w:rPr>
              <w:t xml:space="preserve"> </w:t>
            </w:r>
            <w:r>
              <w:rPr>
                <w:sz w:val="20"/>
              </w:rPr>
              <w:t>transfer. Procent alocare risc pentru Beneficiar -</w:t>
            </w:r>
            <w:r>
              <w:rPr>
                <w:spacing w:val="-10"/>
                <w:sz w:val="20"/>
              </w:rPr>
              <w:t xml:space="preserve"> </w:t>
            </w:r>
            <w:r>
              <w:rPr>
                <w:sz w:val="20"/>
              </w:rPr>
              <w:t>100%;</w:t>
            </w:r>
          </w:p>
          <w:p>
            <w:pPr>
              <w:pStyle w:val="TableParagraph"/>
              <w:numPr>
                <w:ilvl w:val="0"/>
                <w:numId w:val="1"/>
              </w:numPr>
              <w:tabs>
                <w:tab w:val="left" w:pos="241"/>
              </w:tabs>
              <w:spacing w:before="29" w:line="204" w:lineRule="auto"/>
              <w:ind w:right="22" w:hanging="380"/>
              <w:jc w:val="both"/>
              <w:rPr>
                <w:sz w:val="18"/>
              </w:rPr>
            </w:pPr>
            <w:r>
              <w:rPr>
                <w:b/>
                <w:sz w:val="20"/>
              </w:rPr>
              <w:t xml:space="preserve">Gradul de impurificare ridicat a deşeurilor colectate separat </w:t>
            </w:r>
            <w:r>
              <w:rPr>
                <w:sz w:val="20"/>
              </w:rPr>
              <w:t>- In</w:t>
            </w:r>
            <w:r>
              <w:rPr>
                <w:spacing w:val="-10"/>
                <w:sz w:val="20"/>
              </w:rPr>
              <w:t xml:space="preserve"> </w:t>
            </w:r>
            <w:r>
              <w:rPr>
                <w:sz w:val="20"/>
              </w:rPr>
              <w:t>general,</w:t>
            </w:r>
            <w:r>
              <w:rPr>
                <w:spacing w:val="-6"/>
                <w:sz w:val="20"/>
              </w:rPr>
              <w:t xml:space="preserve"> </w:t>
            </w:r>
            <w:r>
              <w:rPr>
                <w:sz w:val="20"/>
              </w:rPr>
              <w:t>este</w:t>
            </w:r>
            <w:r>
              <w:rPr>
                <w:spacing w:val="-8"/>
                <w:sz w:val="20"/>
              </w:rPr>
              <w:t xml:space="preserve"> </w:t>
            </w:r>
            <w:r>
              <w:rPr>
                <w:sz w:val="20"/>
              </w:rPr>
              <w:t>acceptat</w:t>
            </w:r>
            <w:r>
              <w:rPr>
                <w:spacing w:val="-8"/>
                <w:sz w:val="20"/>
              </w:rPr>
              <w:t xml:space="preserve"> </w:t>
            </w:r>
            <w:r>
              <w:rPr>
                <w:sz w:val="20"/>
              </w:rPr>
              <w:t>un</w:t>
            </w:r>
            <w:r>
              <w:rPr>
                <w:spacing w:val="-9"/>
                <w:sz w:val="20"/>
              </w:rPr>
              <w:t xml:space="preserve"> </w:t>
            </w:r>
            <w:r>
              <w:rPr>
                <w:sz w:val="20"/>
              </w:rPr>
              <w:t>anumit</w:t>
            </w:r>
            <w:r>
              <w:rPr>
                <w:spacing w:val="-10"/>
                <w:sz w:val="20"/>
              </w:rPr>
              <w:t xml:space="preserve"> </w:t>
            </w:r>
            <w:r>
              <w:rPr>
                <w:sz w:val="20"/>
              </w:rPr>
              <w:t>grad</w:t>
            </w:r>
            <w:r>
              <w:rPr>
                <w:spacing w:val="-8"/>
                <w:sz w:val="20"/>
              </w:rPr>
              <w:t xml:space="preserve"> </w:t>
            </w:r>
            <w:r>
              <w:rPr>
                <w:sz w:val="20"/>
              </w:rPr>
              <w:t>de</w:t>
            </w:r>
            <w:r>
              <w:rPr>
                <w:spacing w:val="-8"/>
                <w:sz w:val="20"/>
              </w:rPr>
              <w:t xml:space="preserve"> </w:t>
            </w:r>
            <w:r>
              <w:rPr>
                <w:sz w:val="20"/>
              </w:rPr>
              <w:t>impurificare</w:t>
            </w:r>
            <w:r>
              <w:rPr>
                <w:spacing w:val="-8"/>
                <w:sz w:val="20"/>
              </w:rPr>
              <w:t xml:space="preserve"> </w:t>
            </w:r>
            <w:r>
              <w:rPr>
                <w:sz w:val="20"/>
              </w:rPr>
              <w:t>(greşeli)</w:t>
            </w:r>
            <w:r>
              <w:rPr>
                <w:spacing w:val="-9"/>
                <w:sz w:val="20"/>
              </w:rPr>
              <w:t xml:space="preserve"> </w:t>
            </w:r>
            <w:r>
              <w:rPr>
                <w:sz w:val="20"/>
              </w:rPr>
              <w:t>în cazul</w:t>
            </w:r>
            <w:r>
              <w:rPr>
                <w:spacing w:val="-12"/>
                <w:sz w:val="20"/>
              </w:rPr>
              <w:t xml:space="preserve"> </w:t>
            </w:r>
            <w:r>
              <w:rPr>
                <w:sz w:val="20"/>
              </w:rPr>
              <w:t>fiecărui</w:t>
            </w:r>
            <w:r>
              <w:rPr>
                <w:spacing w:val="-12"/>
                <w:sz w:val="20"/>
              </w:rPr>
              <w:t xml:space="preserve"> </w:t>
            </w:r>
            <w:r>
              <w:rPr>
                <w:sz w:val="20"/>
              </w:rPr>
              <w:t>recipient</w:t>
            </w:r>
            <w:r>
              <w:rPr>
                <w:spacing w:val="-12"/>
                <w:sz w:val="20"/>
              </w:rPr>
              <w:t xml:space="preserve"> </w:t>
            </w:r>
            <w:r>
              <w:rPr>
                <w:sz w:val="20"/>
              </w:rPr>
              <w:t>de</w:t>
            </w:r>
            <w:r>
              <w:rPr>
                <w:spacing w:val="-13"/>
                <w:sz w:val="20"/>
              </w:rPr>
              <w:t xml:space="preserve"> </w:t>
            </w:r>
            <w:r>
              <w:rPr>
                <w:sz w:val="20"/>
              </w:rPr>
              <w:t>colectare</w:t>
            </w:r>
            <w:r>
              <w:rPr>
                <w:spacing w:val="-13"/>
                <w:sz w:val="20"/>
              </w:rPr>
              <w:t xml:space="preserve"> </w:t>
            </w:r>
            <w:r>
              <w:rPr>
                <w:sz w:val="20"/>
              </w:rPr>
              <w:t>separată</w:t>
            </w:r>
            <w:r>
              <w:rPr>
                <w:spacing w:val="-13"/>
                <w:sz w:val="20"/>
              </w:rPr>
              <w:t xml:space="preserve"> </w:t>
            </w:r>
            <w:r>
              <w:rPr>
                <w:sz w:val="20"/>
              </w:rPr>
              <w:t>a</w:t>
            </w:r>
            <w:r>
              <w:rPr>
                <w:spacing w:val="-12"/>
                <w:sz w:val="20"/>
              </w:rPr>
              <w:t xml:space="preserve"> </w:t>
            </w:r>
            <w:r>
              <w:rPr>
                <w:sz w:val="20"/>
              </w:rPr>
              <w:t>deşeurilor.</w:t>
            </w:r>
            <w:r>
              <w:rPr>
                <w:spacing w:val="-13"/>
                <w:sz w:val="20"/>
              </w:rPr>
              <w:t xml:space="preserve"> </w:t>
            </w:r>
            <w:r>
              <w:rPr>
                <w:sz w:val="20"/>
              </w:rPr>
              <w:t>În</w:t>
            </w:r>
            <w:r>
              <w:rPr>
                <w:spacing w:val="-10"/>
                <w:sz w:val="20"/>
              </w:rPr>
              <w:t xml:space="preserve"> </w:t>
            </w:r>
            <w:r>
              <w:rPr>
                <w:sz w:val="20"/>
              </w:rPr>
              <w:t>situaţia în care gradul de impurificare pentru biodeşeurile colectate separat este foarte mare, instalaţia de digestie anaerobă poate avea deficienţe în operare, iar instalaţia de tratare mecanică poate fi suprasolicitată. Procent alocare risc pentru Beneficiar -</w:t>
            </w:r>
            <w:r>
              <w:rPr>
                <w:spacing w:val="-13"/>
                <w:sz w:val="20"/>
              </w:rPr>
              <w:t xml:space="preserve"> </w:t>
            </w:r>
            <w:r>
              <w:rPr>
                <w:sz w:val="20"/>
              </w:rPr>
              <w:t>100%;</w:t>
            </w:r>
          </w:p>
          <w:p>
            <w:pPr>
              <w:pStyle w:val="TableParagraph"/>
              <w:numPr>
                <w:ilvl w:val="0"/>
                <w:numId w:val="1"/>
              </w:numPr>
              <w:tabs>
                <w:tab w:val="left" w:pos="401"/>
              </w:tabs>
              <w:spacing w:line="204" w:lineRule="auto"/>
              <w:ind w:right="21" w:hanging="380"/>
              <w:jc w:val="both"/>
              <w:rPr>
                <w:sz w:val="20"/>
              </w:rPr>
            </w:pPr>
            <w:r>
              <w:rPr>
                <w:b/>
                <w:sz w:val="20"/>
              </w:rPr>
              <w:t xml:space="preserve">Cantităţile de deşeuri la intrarea în instalaţii sunt mai mari decât cele planificate </w:t>
            </w:r>
            <w:r>
              <w:rPr>
                <w:sz w:val="20"/>
              </w:rPr>
              <w:t>-Cantităţile lunare cântărite la intrarea în instalaţie sunt mai mari decât estimările pe baza cărora s-a bazat oferta de servicii si calcularea tarifului. Procent alocare risc pentru Beneficiar -</w:t>
            </w:r>
            <w:r>
              <w:rPr>
                <w:spacing w:val="-1"/>
                <w:sz w:val="20"/>
              </w:rPr>
              <w:t xml:space="preserve"> </w:t>
            </w:r>
            <w:r>
              <w:rPr>
                <w:sz w:val="20"/>
              </w:rPr>
              <w:t>100%;</w:t>
            </w:r>
          </w:p>
          <w:p>
            <w:pPr>
              <w:pStyle w:val="TableParagraph"/>
              <w:numPr>
                <w:ilvl w:val="0"/>
                <w:numId w:val="1"/>
              </w:numPr>
              <w:tabs>
                <w:tab w:val="left" w:pos="401"/>
              </w:tabs>
              <w:spacing w:line="204" w:lineRule="auto"/>
              <w:ind w:right="22" w:hanging="380"/>
              <w:jc w:val="both"/>
              <w:rPr>
                <w:sz w:val="20"/>
              </w:rPr>
            </w:pPr>
            <w:r>
              <w:rPr>
                <w:b/>
                <w:sz w:val="20"/>
              </w:rPr>
              <w:t>Cantităţile de deşeuri la intrarea în instalaţii sunt mai mici decât cele planificate</w:t>
            </w:r>
            <w:r>
              <w:rPr>
                <w:b/>
                <w:spacing w:val="5"/>
                <w:sz w:val="20"/>
              </w:rPr>
              <w:t xml:space="preserve"> </w:t>
            </w:r>
            <w:r>
              <w:rPr>
                <w:sz w:val="20"/>
              </w:rPr>
              <w:t>-</w:t>
            </w:r>
          </w:p>
          <w:p>
            <w:pPr>
              <w:pStyle w:val="TableParagraph"/>
              <w:spacing w:line="204" w:lineRule="auto"/>
              <w:ind w:left="405" w:right="24"/>
              <w:jc w:val="both"/>
              <w:rPr>
                <w:sz w:val="20"/>
              </w:rPr>
            </w:pPr>
            <w:r>
              <w:rPr>
                <w:sz w:val="20"/>
              </w:rPr>
              <w:t>Cantităţile lunare cântărite la intrarea în instalaţie sunt considerabil mai mici decât estimările pe baza cărora s-a bazat oferta de</w:t>
            </w:r>
            <w:r>
              <w:rPr>
                <w:spacing w:val="-19"/>
                <w:sz w:val="20"/>
              </w:rPr>
              <w:t xml:space="preserve"> </w:t>
            </w:r>
            <w:r>
              <w:rPr>
                <w:sz w:val="20"/>
              </w:rPr>
              <w:t>servicii şi</w:t>
            </w:r>
            <w:r>
              <w:rPr>
                <w:spacing w:val="-12"/>
                <w:sz w:val="20"/>
              </w:rPr>
              <w:t xml:space="preserve"> </w:t>
            </w:r>
            <w:r>
              <w:rPr>
                <w:sz w:val="20"/>
              </w:rPr>
              <w:t>calcularea</w:t>
            </w:r>
            <w:r>
              <w:rPr>
                <w:spacing w:val="-10"/>
                <w:sz w:val="20"/>
              </w:rPr>
              <w:t xml:space="preserve"> </w:t>
            </w:r>
            <w:r>
              <w:rPr>
                <w:sz w:val="20"/>
              </w:rPr>
              <w:t>tarifului.</w:t>
            </w:r>
            <w:r>
              <w:rPr>
                <w:spacing w:val="-12"/>
                <w:sz w:val="20"/>
              </w:rPr>
              <w:t xml:space="preserve"> </w:t>
            </w:r>
            <w:r>
              <w:rPr>
                <w:sz w:val="20"/>
              </w:rPr>
              <w:t>Procent</w:t>
            </w:r>
            <w:r>
              <w:rPr>
                <w:spacing w:val="-11"/>
                <w:sz w:val="20"/>
              </w:rPr>
              <w:t xml:space="preserve"> </w:t>
            </w:r>
            <w:r>
              <w:rPr>
                <w:sz w:val="20"/>
              </w:rPr>
              <w:t>alocare</w:t>
            </w:r>
            <w:r>
              <w:rPr>
                <w:spacing w:val="-9"/>
                <w:sz w:val="20"/>
              </w:rPr>
              <w:t xml:space="preserve"> </w:t>
            </w:r>
            <w:r>
              <w:rPr>
                <w:sz w:val="20"/>
              </w:rPr>
              <w:t>risc</w:t>
            </w:r>
            <w:r>
              <w:rPr>
                <w:spacing w:val="-12"/>
                <w:sz w:val="20"/>
              </w:rPr>
              <w:t xml:space="preserve"> </w:t>
            </w:r>
            <w:r>
              <w:rPr>
                <w:sz w:val="20"/>
              </w:rPr>
              <w:t>pentru</w:t>
            </w:r>
            <w:r>
              <w:rPr>
                <w:spacing w:val="-9"/>
                <w:sz w:val="20"/>
              </w:rPr>
              <w:t xml:space="preserve"> </w:t>
            </w:r>
            <w:r>
              <w:rPr>
                <w:sz w:val="20"/>
              </w:rPr>
              <w:t>Beneficiar</w:t>
            </w:r>
            <w:r>
              <w:rPr>
                <w:spacing w:val="-11"/>
                <w:sz w:val="20"/>
              </w:rPr>
              <w:t xml:space="preserve"> </w:t>
            </w:r>
            <w:r>
              <w:rPr>
                <w:sz w:val="20"/>
              </w:rPr>
              <w:t>-</w:t>
            </w:r>
            <w:r>
              <w:rPr>
                <w:spacing w:val="-11"/>
                <w:sz w:val="20"/>
              </w:rPr>
              <w:t xml:space="preserve"> </w:t>
            </w:r>
            <w:r>
              <w:rPr>
                <w:sz w:val="20"/>
              </w:rPr>
              <w:t>100%;</w:t>
            </w:r>
          </w:p>
          <w:p>
            <w:pPr>
              <w:pStyle w:val="TableParagraph"/>
              <w:numPr>
                <w:ilvl w:val="0"/>
                <w:numId w:val="1"/>
              </w:numPr>
              <w:tabs>
                <w:tab w:val="left" w:pos="401"/>
              </w:tabs>
              <w:spacing w:line="192" w:lineRule="exact"/>
              <w:ind w:left="400" w:hanging="361"/>
              <w:jc w:val="both"/>
              <w:rPr>
                <w:rFonts w:ascii="Times New Roman" w:hAnsi="Times New Roman"/>
                <w:b/>
                <w:sz w:val="20"/>
              </w:rPr>
            </w:pPr>
            <w:r>
              <w:rPr>
                <w:b/>
                <w:sz w:val="20"/>
              </w:rPr>
              <w:t>Cerinţe suplimentare privind reglementările de mediu -</w:t>
            </w:r>
            <w:r>
              <w:rPr>
                <w:b/>
                <w:spacing w:val="54"/>
                <w:sz w:val="20"/>
              </w:rPr>
              <w:t xml:space="preserve"> </w:t>
            </w:r>
            <w:r>
              <w:rPr>
                <w:b/>
                <w:sz w:val="20"/>
              </w:rPr>
              <w:t>taxe</w:t>
            </w:r>
          </w:p>
          <w:p>
            <w:pPr>
              <w:pStyle w:val="TableParagraph"/>
              <w:numPr>
                <w:ilvl w:val="1"/>
                <w:numId w:val="1"/>
              </w:numPr>
              <w:tabs>
                <w:tab w:val="left" w:pos="706"/>
              </w:tabs>
              <w:spacing w:before="4" w:line="204" w:lineRule="auto"/>
              <w:ind w:right="20" w:firstLine="0"/>
              <w:jc w:val="both"/>
              <w:rPr>
                <w:sz w:val="20"/>
              </w:rPr>
            </w:pPr>
            <w:r>
              <w:rPr>
                <w:sz w:val="20"/>
              </w:rPr>
              <w:t>Pe parcursul derulării contractului de operare actele de reglementare</w:t>
            </w:r>
            <w:r>
              <w:rPr>
                <w:spacing w:val="-13"/>
                <w:sz w:val="20"/>
              </w:rPr>
              <w:t xml:space="preserve"> </w:t>
            </w:r>
            <w:r>
              <w:rPr>
                <w:sz w:val="20"/>
              </w:rPr>
              <w:t>suportă</w:t>
            </w:r>
            <w:r>
              <w:rPr>
                <w:spacing w:val="-15"/>
                <w:sz w:val="20"/>
              </w:rPr>
              <w:t xml:space="preserve"> </w:t>
            </w:r>
            <w:r>
              <w:rPr>
                <w:sz w:val="20"/>
              </w:rPr>
              <w:t>modificări</w:t>
            </w:r>
            <w:r>
              <w:rPr>
                <w:spacing w:val="-14"/>
                <w:sz w:val="20"/>
              </w:rPr>
              <w:t xml:space="preserve"> </w:t>
            </w:r>
            <w:r>
              <w:rPr>
                <w:sz w:val="20"/>
              </w:rPr>
              <w:t>şi</w:t>
            </w:r>
            <w:r>
              <w:rPr>
                <w:spacing w:val="-16"/>
                <w:sz w:val="20"/>
              </w:rPr>
              <w:t xml:space="preserve"> </w:t>
            </w:r>
            <w:r>
              <w:rPr>
                <w:sz w:val="20"/>
              </w:rPr>
              <w:t>sunt</w:t>
            </w:r>
            <w:r>
              <w:rPr>
                <w:spacing w:val="-14"/>
                <w:sz w:val="20"/>
              </w:rPr>
              <w:t xml:space="preserve"> </w:t>
            </w:r>
            <w:r>
              <w:rPr>
                <w:sz w:val="20"/>
              </w:rPr>
              <w:t>introduse</w:t>
            </w:r>
            <w:r>
              <w:rPr>
                <w:spacing w:val="-16"/>
                <w:sz w:val="20"/>
              </w:rPr>
              <w:t xml:space="preserve"> </w:t>
            </w:r>
            <w:r>
              <w:rPr>
                <w:sz w:val="20"/>
              </w:rPr>
              <w:t>noi</w:t>
            </w:r>
            <w:r>
              <w:rPr>
                <w:spacing w:val="-15"/>
                <w:sz w:val="20"/>
              </w:rPr>
              <w:t xml:space="preserve"> </w:t>
            </w:r>
            <w:r>
              <w:rPr>
                <w:sz w:val="20"/>
              </w:rPr>
              <w:t>taxe</w:t>
            </w:r>
            <w:r>
              <w:rPr>
                <w:spacing w:val="-16"/>
                <w:sz w:val="20"/>
              </w:rPr>
              <w:t xml:space="preserve"> </w:t>
            </w:r>
            <w:r>
              <w:rPr>
                <w:sz w:val="20"/>
              </w:rPr>
              <w:t>aplicabile. Procent alocare risc pentru Beneficiar -</w:t>
            </w:r>
            <w:r>
              <w:rPr>
                <w:spacing w:val="-10"/>
                <w:sz w:val="20"/>
              </w:rPr>
              <w:t xml:space="preserve"> </w:t>
            </w:r>
            <w:r>
              <w:rPr>
                <w:sz w:val="20"/>
              </w:rPr>
              <w:t>100%;</w:t>
            </w:r>
          </w:p>
          <w:p>
            <w:pPr>
              <w:pStyle w:val="TableParagraph"/>
              <w:numPr>
                <w:ilvl w:val="0"/>
                <w:numId w:val="1"/>
              </w:numPr>
              <w:tabs>
                <w:tab w:val="left" w:pos="401"/>
              </w:tabs>
              <w:spacing w:before="1" w:line="201" w:lineRule="auto"/>
              <w:ind w:left="400" w:right="19" w:hanging="360"/>
              <w:jc w:val="both"/>
              <w:rPr>
                <w:rFonts w:ascii="Times New Roman" w:hAnsi="Times New Roman"/>
                <w:sz w:val="20"/>
              </w:rPr>
            </w:pPr>
            <w:r>
              <w:rPr>
                <w:b/>
                <w:sz w:val="20"/>
              </w:rPr>
              <w:t xml:space="preserve">Cerinţe tehnice suplimentare privind reglementările de mediu </w:t>
            </w:r>
            <w:r>
              <w:rPr>
                <w:sz w:val="20"/>
              </w:rPr>
              <w:t>- Pe parcursul derulării contractului de operare actele de reglementare</w:t>
            </w:r>
            <w:r>
              <w:rPr>
                <w:spacing w:val="-11"/>
                <w:sz w:val="20"/>
              </w:rPr>
              <w:t xml:space="preserve"> </w:t>
            </w:r>
            <w:r>
              <w:rPr>
                <w:sz w:val="20"/>
              </w:rPr>
              <w:t>suportă</w:t>
            </w:r>
            <w:r>
              <w:rPr>
                <w:spacing w:val="-13"/>
                <w:sz w:val="20"/>
              </w:rPr>
              <w:t xml:space="preserve"> </w:t>
            </w:r>
            <w:r>
              <w:rPr>
                <w:sz w:val="20"/>
              </w:rPr>
              <w:t>modificări</w:t>
            </w:r>
            <w:r>
              <w:rPr>
                <w:spacing w:val="-13"/>
                <w:sz w:val="20"/>
              </w:rPr>
              <w:t xml:space="preserve"> </w:t>
            </w:r>
            <w:r>
              <w:rPr>
                <w:sz w:val="20"/>
              </w:rPr>
              <w:t>şi</w:t>
            </w:r>
            <w:r>
              <w:rPr>
                <w:spacing w:val="-11"/>
                <w:sz w:val="20"/>
              </w:rPr>
              <w:t xml:space="preserve"> </w:t>
            </w:r>
            <w:r>
              <w:rPr>
                <w:sz w:val="20"/>
              </w:rPr>
              <w:t>sunt</w:t>
            </w:r>
            <w:r>
              <w:rPr>
                <w:spacing w:val="-12"/>
                <w:sz w:val="20"/>
              </w:rPr>
              <w:t xml:space="preserve"> </w:t>
            </w:r>
            <w:r>
              <w:rPr>
                <w:sz w:val="20"/>
              </w:rPr>
              <w:t>introduse</w:t>
            </w:r>
            <w:r>
              <w:rPr>
                <w:spacing w:val="-14"/>
                <w:sz w:val="20"/>
              </w:rPr>
              <w:t xml:space="preserve"> </w:t>
            </w:r>
            <w:r>
              <w:rPr>
                <w:sz w:val="20"/>
              </w:rPr>
              <w:t>noi</w:t>
            </w:r>
            <w:r>
              <w:rPr>
                <w:spacing w:val="-11"/>
                <w:sz w:val="20"/>
              </w:rPr>
              <w:t xml:space="preserve"> </w:t>
            </w:r>
            <w:r>
              <w:rPr>
                <w:sz w:val="20"/>
              </w:rPr>
              <w:t>cerinţe</w:t>
            </w:r>
            <w:r>
              <w:rPr>
                <w:spacing w:val="-13"/>
                <w:sz w:val="20"/>
              </w:rPr>
              <w:t xml:space="preserve"> </w:t>
            </w:r>
            <w:r>
              <w:rPr>
                <w:sz w:val="20"/>
              </w:rPr>
              <w:t>tehnice aplicabile. Procent alocare risc pentru Beneficiar -</w:t>
            </w:r>
            <w:r>
              <w:rPr>
                <w:spacing w:val="-8"/>
                <w:sz w:val="20"/>
              </w:rPr>
              <w:t xml:space="preserve"> </w:t>
            </w:r>
            <w:r>
              <w:rPr>
                <w:sz w:val="20"/>
              </w:rPr>
              <w:t>50%;</w:t>
            </w:r>
          </w:p>
          <w:p>
            <w:pPr>
              <w:pStyle w:val="TableParagraph"/>
              <w:numPr>
                <w:ilvl w:val="0"/>
                <w:numId w:val="1"/>
              </w:numPr>
              <w:tabs>
                <w:tab w:val="left" w:pos="401"/>
              </w:tabs>
              <w:spacing w:before="3" w:line="204" w:lineRule="auto"/>
              <w:ind w:left="400" w:right="20" w:hanging="360"/>
              <w:jc w:val="both"/>
              <w:rPr>
                <w:rFonts w:ascii="Times New Roman" w:hAnsi="Times New Roman"/>
                <w:sz w:val="20"/>
              </w:rPr>
            </w:pPr>
            <w:r>
              <w:rPr>
                <w:b/>
                <w:sz w:val="20"/>
              </w:rPr>
              <w:t>Contestarea activităţii de către populaţia rezidentă din vecinătăţi</w:t>
            </w:r>
            <w:r>
              <w:rPr>
                <w:b/>
                <w:spacing w:val="-8"/>
                <w:sz w:val="20"/>
              </w:rPr>
              <w:t xml:space="preserve"> </w:t>
            </w:r>
            <w:r>
              <w:rPr>
                <w:sz w:val="20"/>
              </w:rPr>
              <w:t>-</w:t>
            </w:r>
            <w:r>
              <w:rPr>
                <w:spacing w:val="-9"/>
                <w:sz w:val="20"/>
              </w:rPr>
              <w:t xml:space="preserve"> </w:t>
            </w:r>
            <w:r>
              <w:rPr>
                <w:sz w:val="20"/>
              </w:rPr>
              <w:t>După</w:t>
            </w:r>
            <w:r>
              <w:rPr>
                <w:spacing w:val="-11"/>
                <w:sz w:val="20"/>
              </w:rPr>
              <w:t xml:space="preserve"> </w:t>
            </w:r>
            <w:r>
              <w:rPr>
                <w:sz w:val="20"/>
              </w:rPr>
              <w:t>punerea</w:t>
            </w:r>
            <w:r>
              <w:rPr>
                <w:spacing w:val="-8"/>
                <w:sz w:val="20"/>
              </w:rPr>
              <w:t xml:space="preserve"> </w:t>
            </w:r>
            <w:r>
              <w:rPr>
                <w:sz w:val="20"/>
              </w:rPr>
              <w:t>în</w:t>
            </w:r>
            <w:r>
              <w:rPr>
                <w:spacing w:val="-6"/>
                <w:sz w:val="20"/>
              </w:rPr>
              <w:t xml:space="preserve"> </w:t>
            </w:r>
            <w:r>
              <w:rPr>
                <w:sz w:val="20"/>
              </w:rPr>
              <w:t>exploatare</w:t>
            </w:r>
            <w:r>
              <w:rPr>
                <w:spacing w:val="-12"/>
                <w:sz w:val="20"/>
              </w:rPr>
              <w:t xml:space="preserve"> </w:t>
            </w:r>
            <w:r>
              <w:rPr>
                <w:sz w:val="20"/>
              </w:rPr>
              <w:t>a</w:t>
            </w:r>
            <w:r>
              <w:rPr>
                <w:spacing w:val="-10"/>
                <w:sz w:val="20"/>
              </w:rPr>
              <w:t xml:space="preserve"> </w:t>
            </w:r>
            <w:r>
              <w:rPr>
                <w:sz w:val="20"/>
              </w:rPr>
              <w:t>instalaţiilor</w:t>
            </w:r>
            <w:r>
              <w:rPr>
                <w:spacing w:val="-10"/>
                <w:sz w:val="20"/>
              </w:rPr>
              <w:t xml:space="preserve"> </w:t>
            </w:r>
            <w:r>
              <w:rPr>
                <w:sz w:val="20"/>
              </w:rPr>
              <w:t>poate</w:t>
            </w:r>
            <w:r>
              <w:rPr>
                <w:spacing w:val="-11"/>
                <w:sz w:val="20"/>
              </w:rPr>
              <w:t xml:space="preserve"> </w:t>
            </w:r>
            <w:r>
              <w:rPr>
                <w:sz w:val="20"/>
              </w:rPr>
              <w:t>apărea şi se poate amplifica în timp nemulţumirea populaţiei faţă de influenţele</w:t>
            </w:r>
            <w:r>
              <w:rPr>
                <w:spacing w:val="-14"/>
                <w:sz w:val="20"/>
              </w:rPr>
              <w:t xml:space="preserve"> </w:t>
            </w:r>
            <w:r>
              <w:rPr>
                <w:sz w:val="20"/>
              </w:rPr>
              <w:t>activităţilor</w:t>
            </w:r>
            <w:r>
              <w:rPr>
                <w:spacing w:val="-14"/>
                <w:sz w:val="20"/>
              </w:rPr>
              <w:t xml:space="preserve"> </w:t>
            </w:r>
            <w:r>
              <w:rPr>
                <w:sz w:val="20"/>
              </w:rPr>
              <w:t>desfăşurate</w:t>
            </w:r>
            <w:r>
              <w:rPr>
                <w:spacing w:val="-13"/>
                <w:sz w:val="20"/>
              </w:rPr>
              <w:t xml:space="preserve"> </w:t>
            </w:r>
            <w:r>
              <w:rPr>
                <w:sz w:val="20"/>
              </w:rPr>
              <w:t>asupra</w:t>
            </w:r>
            <w:r>
              <w:rPr>
                <w:spacing w:val="-13"/>
                <w:sz w:val="20"/>
              </w:rPr>
              <w:t xml:space="preserve"> </w:t>
            </w:r>
            <w:r>
              <w:rPr>
                <w:sz w:val="20"/>
              </w:rPr>
              <w:t>calităţii</w:t>
            </w:r>
            <w:r>
              <w:rPr>
                <w:spacing w:val="-12"/>
                <w:sz w:val="20"/>
              </w:rPr>
              <w:t xml:space="preserve"> </w:t>
            </w:r>
            <w:r>
              <w:rPr>
                <w:sz w:val="20"/>
              </w:rPr>
              <w:t>vieţii.</w:t>
            </w:r>
            <w:r>
              <w:rPr>
                <w:spacing w:val="-13"/>
                <w:sz w:val="20"/>
              </w:rPr>
              <w:t xml:space="preserve"> </w:t>
            </w:r>
            <w:r>
              <w:rPr>
                <w:sz w:val="20"/>
              </w:rPr>
              <w:t>Acestea</w:t>
            </w:r>
            <w:r>
              <w:rPr>
                <w:spacing w:val="-10"/>
                <w:sz w:val="20"/>
              </w:rPr>
              <w:t xml:space="preserve"> </w:t>
            </w:r>
            <w:r>
              <w:rPr>
                <w:sz w:val="20"/>
              </w:rPr>
              <w:t>pot ajunge</w:t>
            </w:r>
            <w:r>
              <w:rPr>
                <w:spacing w:val="-13"/>
                <w:sz w:val="20"/>
              </w:rPr>
              <w:t xml:space="preserve"> </w:t>
            </w:r>
            <w:r>
              <w:rPr>
                <w:sz w:val="20"/>
              </w:rPr>
              <w:t>la</w:t>
            </w:r>
            <w:r>
              <w:rPr>
                <w:spacing w:val="-12"/>
                <w:sz w:val="20"/>
              </w:rPr>
              <w:t xml:space="preserve"> </w:t>
            </w:r>
            <w:r>
              <w:rPr>
                <w:sz w:val="20"/>
              </w:rPr>
              <w:t>situaţii</w:t>
            </w:r>
            <w:r>
              <w:rPr>
                <w:spacing w:val="-10"/>
                <w:sz w:val="20"/>
              </w:rPr>
              <w:t xml:space="preserve"> </w:t>
            </w:r>
            <w:r>
              <w:rPr>
                <w:sz w:val="20"/>
              </w:rPr>
              <w:t>conflictuale</w:t>
            </w:r>
            <w:r>
              <w:rPr>
                <w:spacing w:val="-13"/>
                <w:sz w:val="20"/>
              </w:rPr>
              <w:t xml:space="preserve"> </w:t>
            </w:r>
            <w:r>
              <w:rPr>
                <w:sz w:val="20"/>
              </w:rPr>
              <w:t>şi</w:t>
            </w:r>
            <w:r>
              <w:rPr>
                <w:spacing w:val="-9"/>
                <w:sz w:val="20"/>
              </w:rPr>
              <w:t xml:space="preserve"> </w:t>
            </w:r>
            <w:r>
              <w:rPr>
                <w:sz w:val="20"/>
              </w:rPr>
              <w:t>litigii.</w:t>
            </w:r>
            <w:r>
              <w:rPr>
                <w:spacing w:val="-13"/>
                <w:sz w:val="20"/>
              </w:rPr>
              <w:t xml:space="preserve"> </w:t>
            </w:r>
            <w:r>
              <w:rPr>
                <w:sz w:val="20"/>
              </w:rPr>
              <w:t>Aceasta</w:t>
            </w:r>
            <w:r>
              <w:rPr>
                <w:spacing w:val="-8"/>
                <w:sz w:val="20"/>
              </w:rPr>
              <w:t xml:space="preserve"> </w:t>
            </w:r>
            <w:r>
              <w:rPr>
                <w:sz w:val="20"/>
              </w:rPr>
              <w:t>categorie</w:t>
            </w:r>
            <w:r>
              <w:rPr>
                <w:spacing w:val="-11"/>
                <w:sz w:val="20"/>
              </w:rPr>
              <w:t xml:space="preserve"> </w:t>
            </w:r>
            <w:r>
              <w:rPr>
                <w:sz w:val="20"/>
              </w:rPr>
              <w:t>de</w:t>
            </w:r>
            <w:r>
              <w:rPr>
                <w:spacing w:val="-8"/>
                <w:sz w:val="20"/>
              </w:rPr>
              <w:t xml:space="preserve"> </w:t>
            </w:r>
            <w:r>
              <w:rPr>
                <w:sz w:val="20"/>
              </w:rPr>
              <w:t>risc</w:t>
            </w:r>
            <w:r>
              <w:rPr>
                <w:spacing w:val="-10"/>
                <w:sz w:val="20"/>
              </w:rPr>
              <w:t xml:space="preserve"> </w:t>
            </w:r>
            <w:r>
              <w:rPr>
                <w:sz w:val="20"/>
              </w:rPr>
              <w:t>nu</w:t>
            </w:r>
            <w:r>
              <w:rPr>
                <w:spacing w:val="-11"/>
                <w:sz w:val="20"/>
              </w:rPr>
              <w:t xml:space="preserve"> </w:t>
            </w:r>
            <w:r>
              <w:rPr>
                <w:sz w:val="20"/>
              </w:rPr>
              <w:t>se referă la operarea neconformă a instalaţiilor, situaţie în care Operatorul</w:t>
            </w:r>
            <w:r>
              <w:rPr>
                <w:spacing w:val="-16"/>
                <w:sz w:val="20"/>
              </w:rPr>
              <w:t xml:space="preserve"> </w:t>
            </w:r>
            <w:r>
              <w:rPr>
                <w:sz w:val="20"/>
              </w:rPr>
              <w:t>devine</w:t>
            </w:r>
            <w:r>
              <w:rPr>
                <w:spacing w:val="-16"/>
                <w:sz w:val="20"/>
              </w:rPr>
              <w:t xml:space="preserve"> </w:t>
            </w:r>
            <w:r>
              <w:rPr>
                <w:sz w:val="20"/>
              </w:rPr>
              <w:t>responsabil.</w:t>
            </w:r>
            <w:r>
              <w:rPr>
                <w:spacing w:val="-15"/>
                <w:sz w:val="20"/>
              </w:rPr>
              <w:t xml:space="preserve"> </w:t>
            </w:r>
            <w:r>
              <w:rPr>
                <w:sz w:val="20"/>
              </w:rPr>
              <w:t>Procent</w:t>
            </w:r>
            <w:r>
              <w:rPr>
                <w:spacing w:val="-16"/>
                <w:sz w:val="20"/>
              </w:rPr>
              <w:t xml:space="preserve"> </w:t>
            </w:r>
            <w:r>
              <w:rPr>
                <w:sz w:val="20"/>
              </w:rPr>
              <w:t>alocare</w:t>
            </w:r>
            <w:r>
              <w:rPr>
                <w:spacing w:val="-16"/>
                <w:sz w:val="20"/>
              </w:rPr>
              <w:t xml:space="preserve"> </w:t>
            </w:r>
            <w:r>
              <w:rPr>
                <w:sz w:val="20"/>
              </w:rPr>
              <w:t>risc</w:t>
            </w:r>
            <w:r>
              <w:rPr>
                <w:spacing w:val="-18"/>
                <w:sz w:val="20"/>
              </w:rPr>
              <w:t xml:space="preserve"> </w:t>
            </w:r>
            <w:r>
              <w:rPr>
                <w:sz w:val="20"/>
              </w:rPr>
              <w:t>pentru</w:t>
            </w:r>
            <w:r>
              <w:rPr>
                <w:spacing w:val="-14"/>
                <w:sz w:val="20"/>
              </w:rPr>
              <w:t xml:space="preserve"> </w:t>
            </w:r>
            <w:r>
              <w:rPr>
                <w:sz w:val="20"/>
              </w:rPr>
              <w:t>Beneficiar</w:t>
            </w:r>
          </w:p>
          <w:p>
            <w:pPr>
              <w:pStyle w:val="TableParagraph"/>
              <w:spacing w:line="190" w:lineRule="exact"/>
              <w:ind w:left="400"/>
              <w:jc w:val="both"/>
              <w:rPr>
                <w:sz w:val="20"/>
              </w:rPr>
            </w:pPr>
            <w:r>
              <w:rPr>
                <w:sz w:val="20"/>
              </w:rPr>
              <w:t>- 50%;</w:t>
            </w:r>
          </w:p>
          <w:p>
            <w:pPr>
              <w:pStyle w:val="TableParagraph"/>
              <w:numPr>
                <w:ilvl w:val="0"/>
                <w:numId w:val="1"/>
              </w:numPr>
              <w:tabs>
                <w:tab w:val="left" w:pos="401"/>
              </w:tabs>
              <w:spacing w:before="14" w:line="201" w:lineRule="auto"/>
              <w:ind w:left="400" w:right="23" w:hanging="360"/>
              <w:jc w:val="both"/>
              <w:rPr>
                <w:rFonts w:ascii="Times New Roman" w:hAnsi="Times New Roman"/>
                <w:sz w:val="20"/>
              </w:rPr>
            </w:pPr>
            <w:r>
              <w:rPr>
                <w:b/>
                <w:sz w:val="20"/>
              </w:rPr>
              <w:t xml:space="preserve">Inflaţie mare </w:t>
            </w:r>
            <w:r>
              <w:rPr>
                <w:sz w:val="20"/>
              </w:rPr>
              <w:t>- Costurile cresc foarte mult şi brusc din cauza inflaţiei, fiind necesara ajustarea tarifului mai devreme de un an. Procent alocare risc pentru Beneficiar -</w:t>
            </w:r>
            <w:r>
              <w:rPr>
                <w:spacing w:val="-10"/>
                <w:sz w:val="20"/>
              </w:rPr>
              <w:t xml:space="preserve"> </w:t>
            </w:r>
            <w:r>
              <w:rPr>
                <w:sz w:val="20"/>
              </w:rPr>
              <w:t>100%;</w:t>
            </w:r>
          </w:p>
          <w:p>
            <w:pPr>
              <w:pStyle w:val="TableParagraph"/>
              <w:numPr>
                <w:ilvl w:val="0"/>
                <w:numId w:val="1"/>
              </w:numPr>
              <w:tabs>
                <w:tab w:val="left" w:pos="401"/>
              </w:tabs>
              <w:spacing w:before="1" w:line="204" w:lineRule="auto"/>
              <w:ind w:left="400" w:right="22" w:hanging="360"/>
              <w:jc w:val="both"/>
              <w:rPr>
                <w:rFonts w:ascii="Times New Roman" w:hAnsi="Times New Roman"/>
                <w:sz w:val="20"/>
              </w:rPr>
            </w:pPr>
            <w:r>
              <w:rPr>
                <w:b/>
                <w:sz w:val="20"/>
              </w:rPr>
              <w:t xml:space="preserve">Creşteri salariale generale ca urmare a aplicării unor politici publice </w:t>
            </w:r>
            <w:r>
              <w:rPr>
                <w:sz w:val="20"/>
              </w:rPr>
              <w:t>- Salariul minim pe economie creste foarte mult (mai mult de</w:t>
            </w:r>
            <w:r>
              <w:rPr>
                <w:spacing w:val="-13"/>
                <w:sz w:val="20"/>
              </w:rPr>
              <w:t xml:space="preserve"> </w:t>
            </w:r>
            <w:r>
              <w:rPr>
                <w:sz w:val="20"/>
              </w:rPr>
              <w:t>10%</w:t>
            </w:r>
            <w:r>
              <w:rPr>
                <w:spacing w:val="-12"/>
                <w:sz w:val="20"/>
              </w:rPr>
              <w:t xml:space="preserve"> </w:t>
            </w:r>
            <w:r>
              <w:rPr>
                <w:sz w:val="20"/>
              </w:rPr>
              <w:t>pe</w:t>
            </w:r>
            <w:r>
              <w:rPr>
                <w:spacing w:val="-8"/>
                <w:sz w:val="20"/>
              </w:rPr>
              <w:t xml:space="preserve"> </w:t>
            </w:r>
            <w:r>
              <w:rPr>
                <w:sz w:val="20"/>
              </w:rPr>
              <w:t>an)</w:t>
            </w:r>
            <w:r>
              <w:rPr>
                <w:spacing w:val="-11"/>
                <w:sz w:val="20"/>
              </w:rPr>
              <w:t xml:space="preserve"> </w:t>
            </w:r>
            <w:r>
              <w:rPr>
                <w:sz w:val="20"/>
              </w:rPr>
              <w:t>datorită</w:t>
            </w:r>
            <w:r>
              <w:rPr>
                <w:spacing w:val="-9"/>
                <w:sz w:val="20"/>
              </w:rPr>
              <w:t xml:space="preserve"> </w:t>
            </w:r>
            <w:r>
              <w:rPr>
                <w:sz w:val="20"/>
              </w:rPr>
              <w:t>aplicării</w:t>
            </w:r>
            <w:r>
              <w:rPr>
                <w:spacing w:val="-11"/>
                <w:sz w:val="20"/>
              </w:rPr>
              <w:t xml:space="preserve"> </w:t>
            </w:r>
            <w:r>
              <w:rPr>
                <w:sz w:val="20"/>
              </w:rPr>
              <w:t>unor</w:t>
            </w:r>
            <w:r>
              <w:rPr>
                <w:spacing w:val="-11"/>
                <w:sz w:val="20"/>
              </w:rPr>
              <w:t xml:space="preserve"> </w:t>
            </w:r>
            <w:r>
              <w:rPr>
                <w:sz w:val="20"/>
              </w:rPr>
              <w:t>politici</w:t>
            </w:r>
            <w:r>
              <w:rPr>
                <w:spacing w:val="-12"/>
                <w:sz w:val="20"/>
              </w:rPr>
              <w:t xml:space="preserve"> </w:t>
            </w:r>
            <w:r>
              <w:rPr>
                <w:sz w:val="20"/>
              </w:rPr>
              <w:t>publice.</w:t>
            </w:r>
            <w:r>
              <w:rPr>
                <w:spacing w:val="-10"/>
                <w:sz w:val="20"/>
              </w:rPr>
              <w:t xml:space="preserve"> </w:t>
            </w:r>
            <w:r>
              <w:rPr>
                <w:sz w:val="20"/>
              </w:rPr>
              <w:t>Procent</w:t>
            </w:r>
            <w:r>
              <w:rPr>
                <w:spacing w:val="-10"/>
                <w:sz w:val="20"/>
              </w:rPr>
              <w:t xml:space="preserve"> </w:t>
            </w:r>
            <w:r>
              <w:rPr>
                <w:sz w:val="20"/>
              </w:rPr>
              <w:t>alocare risc pentru Beneficiar -</w:t>
            </w:r>
            <w:r>
              <w:rPr>
                <w:spacing w:val="1"/>
                <w:sz w:val="20"/>
              </w:rPr>
              <w:t xml:space="preserve"> </w:t>
            </w:r>
            <w:r>
              <w:rPr>
                <w:sz w:val="20"/>
              </w:rPr>
              <w:t>100%;</w:t>
            </w:r>
          </w:p>
          <w:p>
            <w:pPr>
              <w:pStyle w:val="TableParagraph"/>
              <w:numPr>
                <w:ilvl w:val="0"/>
                <w:numId w:val="1"/>
              </w:numPr>
              <w:tabs>
                <w:tab w:val="left" w:pos="401"/>
                <w:tab w:val="left" w:pos="2622"/>
                <w:tab w:val="left" w:pos="3414"/>
              </w:tabs>
              <w:spacing w:line="204" w:lineRule="auto"/>
              <w:ind w:left="400" w:right="22" w:hanging="360"/>
              <w:jc w:val="both"/>
              <w:rPr>
                <w:rFonts w:ascii="Times New Roman" w:hAnsi="Times New Roman"/>
                <w:sz w:val="20"/>
              </w:rPr>
            </w:pPr>
            <w:r>
              <w:rPr>
                <w:b/>
                <w:sz w:val="20"/>
              </w:rPr>
              <w:t xml:space="preserve">Creşteri de preţ la carburanţi din cauza unor evenimente externe neaşteptate </w:t>
            </w:r>
            <w:r>
              <w:rPr>
                <w:sz w:val="20"/>
              </w:rPr>
              <w:t>-Preturile la carburanţi cresc foarte mult din cauza aplicării unor politici fiscale sau din cauza unor evenimente internaţionale neaşteptate. Procent alocare risc pentru Beneficiar - 100%;</w:t>
            </w:r>
            <w:r>
              <w:rPr>
                <w:sz w:val="20"/>
              </w:rPr>
              <w:tab/>
              <w:t>'</w:t>
            </w:r>
            <w:r>
              <w:rPr>
                <w:sz w:val="20"/>
              </w:rPr>
              <w:tab/>
              <w:t>'</w:t>
            </w:r>
          </w:p>
          <w:p>
            <w:pPr>
              <w:pStyle w:val="TableParagraph"/>
              <w:numPr>
                <w:ilvl w:val="0"/>
                <w:numId w:val="1"/>
              </w:numPr>
              <w:tabs>
                <w:tab w:val="left" w:pos="401"/>
              </w:tabs>
              <w:spacing w:line="201" w:lineRule="auto"/>
              <w:ind w:left="400" w:right="22" w:hanging="360"/>
              <w:jc w:val="both"/>
              <w:rPr>
                <w:rFonts w:ascii="Times New Roman" w:hAnsi="Times New Roman"/>
                <w:sz w:val="20"/>
              </w:rPr>
            </w:pPr>
            <w:r>
              <w:rPr>
                <w:b/>
                <w:sz w:val="20"/>
              </w:rPr>
              <w:t xml:space="preserve">Falimentul Operatorului </w:t>
            </w:r>
            <w:r>
              <w:rPr>
                <w:sz w:val="20"/>
              </w:rPr>
              <w:t>- Constatarea intrării în incapacitate de plată a Operatorului. Serviciul nu mai poate fi prestat. Procent alocare risc pentru Beneficiar -</w:t>
            </w:r>
            <w:r>
              <w:rPr>
                <w:spacing w:val="-2"/>
                <w:sz w:val="20"/>
              </w:rPr>
              <w:t xml:space="preserve"> </w:t>
            </w:r>
            <w:r>
              <w:rPr>
                <w:sz w:val="20"/>
              </w:rPr>
              <w:t>100%;</w:t>
            </w:r>
          </w:p>
          <w:p>
            <w:pPr>
              <w:pStyle w:val="TableParagraph"/>
              <w:numPr>
                <w:ilvl w:val="0"/>
                <w:numId w:val="1"/>
              </w:numPr>
              <w:tabs>
                <w:tab w:val="left" w:pos="401"/>
              </w:tabs>
              <w:spacing w:line="196" w:lineRule="exact"/>
              <w:ind w:left="400" w:hanging="361"/>
              <w:jc w:val="both"/>
              <w:rPr>
                <w:rFonts w:ascii="Times New Roman" w:hAnsi="Times New Roman"/>
                <w:b/>
                <w:sz w:val="20"/>
              </w:rPr>
            </w:pPr>
            <w:r>
              <w:rPr>
                <w:b/>
                <w:sz w:val="20"/>
              </w:rPr>
              <w:t>Modificarea cerinţelor legale existente la momentul</w:t>
            </w:r>
            <w:r>
              <w:rPr>
                <w:b/>
                <w:spacing w:val="-17"/>
                <w:sz w:val="20"/>
              </w:rPr>
              <w:t xml:space="preserve"> </w:t>
            </w:r>
            <w:r>
              <w:rPr>
                <w:b/>
                <w:sz w:val="20"/>
              </w:rPr>
              <w:t>semnării</w:t>
            </w:r>
          </w:p>
          <w:p>
            <w:pPr>
              <w:pStyle w:val="TableParagraph"/>
              <w:numPr>
                <w:ilvl w:val="1"/>
                <w:numId w:val="1"/>
              </w:numPr>
              <w:tabs>
                <w:tab w:val="left" w:pos="588"/>
              </w:tabs>
              <w:spacing w:before="6" w:line="204" w:lineRule="auto"/>
              <w:ind w:right="22" w:firstLine="0"/>
              <w:jc w:val="both"/>
              <w:rPr>
                <w:sz w:val="20"/>
              </w:rPr>
            </w:pPr>
            <w:r>
              <w:rPr>
                <w:sz w:val="20"/>
              </w:rPr>
              <w:t>Modificări legislative (europene, naţionale, locale sau la nivel de bazin hidrografic), inclusiv apariţia standardelor de mediu mai restrictive. Procent alocare risc pentru Beneficiar -</w:t>
            </w:r>
            <w:r>
              <w:rPr>
                <w:spacing w:val="-10"/>
                <w:sz w:val="20"/>
              </w:rPr>
              <w:t xml:space="preserve"> </w:t>
            </w:r>
            <w:r>
              <w:rPr>
                <w:sz w:val="20"/>
              </w:rPr>
              <w:t>100%;</w:t>
            </w:r>
          </w:p>
          <w:p>
            <w:pPr>
              <w:pStyle w:val="TableParagraph"/>
              <w:numPr>
                <w:ilvl w:val="0"/>
                <w:numId w:val="1"/>
              </w:numPr>
              <w:tabs>
                <w:tab w:val="left" w:pos="401"/>
              </w:tabs>
              <w:spacing w:before="4" w:line="199" w:lineRule="auto"/>
              <w:ind w:left="400" w:right="22" w:hanging="360"/>
              <w:jc w:val="both"/>
              <w:rPr>
                <w:rFonts w:ascii="Times New Roman" w:hAnsi="Times New Roman"/>
                <w:sz w:val="20"/>
              </w:rPr>
            </w:pPr>
            <w:r>
              <w:rPr>
                <w:b/>
                <w:sz w:val="20"/>
              </w:rPr>
              <w:t xml:space="preserve">Forţa majoră </w:t>
            </w:r>
            <w:r>
              <w:rPr>
                <w:sz w:val="20"/>
              </w:rPr>
              <w:t>- Forţa majoră, astfel cum este definită prin lege, împiedică realizarea contractului. Procent alocare risc</w:t>
            </w:r>
            <w:r>
              <w:rPr>
                <w:spacing w:val="11"/>
                <w:sz w:val="20"/>
              </w:rPr>
              <w:t xml:space="preserve"> </w:t>
            </w:r>
            <w:r>
              <w:rPr>
                <w:sz w:val="20"/>
              </w:rPr>
              <w:t>pentru</w:t>
            </w:r>
          </w:p>
          <w:p>
            <w:pPr>
              <w:pStyle w:val="TableParagraph"/>
              <w:spacing w:line="193" w:lineRule="exact"/>
              <w:ind w:left="400"/>
              <w:jc w:val="both"/>
              <w:rPr>
                <w:sz w:val="20"/>
              </w:rPr>
            </w:pPr>
            <w:r>
              <w:rPr>
                <w:sz w:val="20"/>
              </w:rPr>
              <w:t>Beneficiar - 50%;</w:t>
            </w:r>
          </w:p>
        </w:tc>
      </w:tr>
    </w:tbl>
    <w:p/>
    <w:sectPr>
      <w:pgSz w:w="11910" w:h="16840"/>
      <w:pgMar w:top="1580" w:right="960" w:bottom="860" w:left="1580" w:header="284" w:footer="6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Bdr>
        <w:top w:val="single" w:sz="4" w:space="0" w:color="auto"/>
      </w:pBdr>
      <w:tabs>
        <w:tab w:val="center" w:pos="4320"/>
        <w:tab w:val="right" w:pos="8640"/>
      </w:tabs>
      <w:jc w:val="center"/>
      <w:outlineLvl w:val="0"/>
      <w:rPr>
        <w:rFonts w:ascii="Arial" w:eastAsia="Times New Roman" w:hAnsi="Arial" w:cs="Times New Roman"/>
        <w:b/>
        <w:noProof/>
        <w:sz w:val="28"/>
        <w:szCs w:val="28"/>
      </w:rPr>
    </w:pPr>
    <w:bookmarkStart w:id="1" w:name="_Hlk230263216"/>
    <w:bookmarkStart w:id="2" w:name="_Hlk230263217"/>
    <w:r>
      <w:rPr>
        <w:rFonts w:ascii="Arial" w:eastAsia="Times New Roman" w:hAnsi="Arial" w:cs="Times New Roman"/>
        <w:b/>
        <w:noProof/>
        <w:sz w:val="28"/>
        <w:szCs w:val="28"/>
      </w:rPr>
      <w:t>HOTÃRÂREA NR. ________din_______________2026</w:t>
    </w:r>
  </w:p>
  <w:p>
    <w:pPr>
      <w:pBdr>
        <w:bottom w:val="single" w:sz="4" w:space="1" w:color="auto"/>
      </w:pBdr>
      <w:tabs>
        <w:tab w:val="center" w:pos="4320"/>
        <w:tab w:val="right" w:pos="8640"/>
      </w:tabs>
      <w:jc w:val="center"/>
      <w:rPr>
        <w:rFonts w:ascii="Arial" w:eastAsia="Times New Roman" w:hAnsi="Arial" w:cs="Times New Roman"/>
        <w:b/>
        <w:sz w:val="28"/>
        <w:szCs w:val="28"/>
      </w:rPr>
    </w:pPr>
    <w:r>
      <w:rPr>
        <w:rFonts w:ascii="Arial" w:eastAsia="Times New Roman" w:hAnsi="Arial" w:cs="Times New Roman"/>
        <w:b/>
        <w:noProof/>
        <w:sz w:val="28"/>
        <w:szCs w:val="28"/>
      </w:rPr>
      <w:t xml:space="preserve">Pag. nr. </w:t>
    </w:r>
    <w:r>
      <w:rPr>
        <w:rFonts w:ascii="Arial" w:eastAsia="Times New Roman" w:hAnsi="Arial" w:cs="Times New Roman"/>
        <w:b/>
        <w:sz w:val="28"/>
        <w:szCs w:val="28"/>
      </w:rPr>
      <w:fldChar w:fldCharType="begin"/>
    </w:r>
    <w:r>
      <w:rPr>
        <w:rFonts w:ascii="Arial" w:eastAsia="Times New Roman" w:hAnsi="Arial" w:cs="Times New Roman"/>
        <w:b/>
        <w:sz w:val="28"/>
        <w:szCs w:val="28"/>
      </w:rPr>
      <w:instrText xml:space="preserve"> PAGE </w:instrText>
    </w:r>
    <w:r>
      <w:rPr>
        <w:rFonts w:ascii="Arial" w:eastAsia="Times New Roman" w:hAnsi="Arial" w:cs="Times New Roman"/>
        <w:b/>
        <w:sz w:val="28"/>
        <w:szCs w:val="28"/>
      </w:rPr>
      <w:fldChar w:fldCharType="separate"/>
    </w:r>
    <w:r>
      <w:rPr>
        <w:rFonts w:ascii="Arial" w:eastAsia="Times New Roman" w:hAnsi="Arial" w:cs="Times New Roman"/>
        <w:b/>
        <w:noProof/>
        <w:sz w:val="28"/>
        <w:szCs w:val="28"/>
      </w:rPr>
      <w:t>393</w:t>
    </w:r>
    <w:r>
      <w:rPr>
        <w:rFonts w:ascii="Arial" w:eastAsia="Times New Roman" w:hAnsi="Arial" w:cs="Times New Roman"/>
        <w:b/>
        <w:sz w:val="28"/>
        <w:szCs w:val="28"/>
      </w:rPr>
      <w:fldChar w:fldCharType="end"/>
    </w:r>
  </w:p>
  <w:p>
    <w:pPr>
      <w:tabs>
        <w:tab w:val="center" w:pos="4320"/>
        <w:tab w:val="right" w:pos="8640"/>
      </w:tabs>
      <w:rPr>
        <w:rFonts w:ascii="Times New Roman" w:eastAsia="Times New Roman" w:hAnsi="Times New Roman" w:cs="Times New Roman"/>
        <w:lang w:eastAsia="x-none"/>
      </w:rPr>
    </w:pPr>
  </w:p>
  <w:bookmarkEnd w:id="1"/>
  <w:bookmarkEnd w:id="2"/>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272DE"/>
    <w:multiLevelType w:val="hybridMultilevel"/>
    <w:tmpl w:val="FD184DD2"/>
    <w:lvl w:ilvl="0" w:tplc="C40A2B9A">
      <w:start w:val="1"/>
      <w:numFmt w:val="decimal"/>
      <w:lvlText w:val="%1."/>
      <w:lvlJc w:val="left"/>
      <w:pPr>
        <w:ind w:left="395" w:hanging="356"/>
        <w:jc w:val="left"/>
      </w:pPr>
      <w:rPr>
        <w:rFonts w:ascii="Verdana" w:eastAsia="Verdana" w:hAnsi="Verdana" w:cs="Verdana" w:hint="default"/>
        <w:w w:val="99"/>
        <w:sz w:val="20"/>
        <w:szCs w:val="20"/>
      </w:rPr>
    </w:lvl>
    <w:lvl w:ilvl="1" w:tplc="08388F7E">
      <w:numFmt w:val="bullet"/>
      <w:lvlText w:val="•"/>
      <w:lvlJc w:val="left"/>
      <w:pPr>
        <w:ind w:left="1086" w:hanging="356"/>
      </w:pPr>
      <w:rPr>
        <w:rFonts w:hint="default"/>
      </w:rPr>
    </w:lvl>
    <w:lvl w:ilvl="2" w:tplc="4BEE4E86">
      <w:numFmt w:val="bullet"/>
      <w:lvlText w:val="•"/>
      <w:lvlJc w:val="left"/>
      <w:pPr>
        <w:ind w:left="1772" w:hanging="356"/>
      </w:pPr>
      <w:rPr>
        <w:rFonts w:hint="default"/>
      </w:rPr>
    </w:lvl>
    <w:lvl w:ilvl="3" w:tplc="FC54B640">
      <w:numFmt w:val="bullet"/>
      <w:lvlText w:val="•"/>
      <w:lvlJc w:val="left"/>
      <w:pPr>
        <w:ind w:left="2458" w:hanging="356"/>
      </w:pPr>
      <w:rPr>
        <w:rFonts w:hint="default"/>
      </w:rPr>
    </w:lvl>
    <w:lvl w:ilvl="4" w:tplc="3B64F860">
      <w:numFmt w:val="bullet"/>
      <w:lvlText w:val="•"/>
      <w:lvlJc w:val="left"/>
      <w:pPr>
        <w:ind w:left="3144" w:hanging="356"/>
      </w:pPr>
      <w:rPr>
        <w:rFonts w:hint="default"/>
      </w:rPr>
    </w:lvl>
    <w:lvl w:ilvl="5" w:tplc="1762808C">
      <w:numFmt w:val="bullet"/>
      <w:lvlText w:val="•"/>
      <w:lvlJc w:val="left"/>
      <w:pPr>
        <w:ind w:left="3831" w:hanging="356"/>
      </w:pPr>
      <w:rPr>
        <w:rFonts w:hint="default"/>
      </w:rPr>
    </w:lvl>
    <w:lvl w:ilvl="6" w:tplc="03D691D6">
      <w:numFmt w:val="bullet"/>
      <w:lvlText w:val="•"/>
      <w:lvlJc w:val="left"/>
      <w:pPr>
        <w:ind w:left="4517" w:hanging="356"/>
      </w:pPr>
      <w:rPr>
        <w:rFonts w:hint="default"/>
      </w:rPr>
    </w:lvl>
    <w:lvl w:ilvl="7" w:tplc="669023D8">
      <w:numFmt w:val="bullet"/>
      <w:lvlText w:val="•"/>
      <w:lvlJc w:val="left"/>
      <w:pPr>
        <w:ind w:left="5203" w:hanging="356"/>
      </w:pPr>
      <w:rPr>
        <w:rFonts w:hint="default"/>
      </w:rPr>
    </w:lvl>
    <w:lvl w:ilvl="8" w:tplc="753AB9F2">
      <w:numFmt w:val="bullet"/>
      <w:lvlText w:val="•"/>
      <w:lvlJc w:val="left"/>
      <w:pPr>
        <w:ind w:left="5889" w:hanging="356"/>
      </w:pPr>
      <w:rPr>
        <w:rFonts w:hint="default"/>
      </w:rPr>
    </w:lvl>
  </w:abstractNum>
  <w:abstractNum w:abstractNumId="1" w15:restartNumberingAfterBreak="0">
    <w:nsid w:val="68DA4DE7"/>
    <w:multiLevelType w:val="hybridMultilevel"/>
    <w:tmpl w:val="971EE796"/>
    <w:lvl w:ilvl="0" w:tplc="238C1B70">
      <w:start w:val="1"/>
      <w:numFmt w:val="lowerRoman"/>
      <w:lvlText w:val="(%1)"/>
      <w:lvlJc w:val="left"/>
      <w:pPr>
        <w:ind w:left="746" w:hanging="347"/>
        <w:jc w:val="left"/>
      </w:pPr>
      <w:rPr>
        <w:rFonts w:ascii="Verdana" w:eastAsia="Verdana" w:hAnsi="Verdana" w:cs="Verdana" w:hint="default"/>
        <w:i/>
        <w:spacing w:val="-1"/>
        <w:w w:val="99"/>
        <w:sz w:val="20"/>
        <w:szCs w:val="20"/>
      </w:rPr>
    </w:lvl>
    <w:lvl w:ilvl="1" w:tplc="F8B24C6C">
      <w:numFmt w:val="bullet"/>
      <w:lvlText w:val="•"/>
      <w:lvlJc w:val="left"/>
      <w:pPr>
        <w:ind w:left="1392" w:hanging="347"/>
      </w:pPr>
      <w:rPr>
        <w:rFonts w:hint="default"/>
      </w:rPr>
    </w:lvl>
    <w:lvl w:ilvl="2" w:tplc="600C391C">
      <w:numFmt w:val="bullet"/>
      <w:lvlText w:val="•"/>
      <w:lvlJc w:val="left"/>
      <w:pPr>
        <w:ind w:left="2044" w:hanging="347"/>
      </w:pPr>
      <w:rPr>
        <w:rFonts w:hint="default"/>
      </w:rPr>
    </w:lvl>
    <w:lvl w:ilvl="3" w:tplc="50DA560E">
      <w:numFmt w:val="bullet"/>
      <w:lvlText w:val="•"/>
      <w:lvlJc w:val="left"/>
      <w:pPr>
        <w:ind w:left="2696" w:hanging="347"/>
      </w:pPr>
      <w:rPr>
        <w:rFonts w:hint="default"/>
      </w:rPr>
    </w:lvl>
    <w:lvl w:ilvl="4" w:tplc="F2D6BB20">
      <w:numFmt w:val="bullet"/>
      <w:lvlText w:val="•"/>
      <w:lvlJc w:val="left"/>
      <w:pPr>
        <w:ind w:left="3348" w:hanging="347"/>
      </w:pPr>
      <w:rPr>
        <w:rFonts w:hint="default"/>
      </w:rPr>
    </w:lvl>
    <w:lvl w:ilvl="5" w:tplc="58423612">
      <w:numFmt w:val="bullet"/>
      <w:lvlText w:val="•"/>
      <w:lvlJc w:val="left"/>
      <w:pPr>
        <w:ind w:left="4001" w:hanging="347"/>
      </w:pPr>
      <w:rPr>
        <w:rFonts w:hint="default"/>
      </w:rPr>
    </w:lvl>
    <w:lvl w:ilvl="6" w:tplc="A656D002">
      <w:numFmt w:val="bullet"/>
      <w:lvlText w:val="•"/>
      <w:lvlJc w:val="left"/>
      <w:pPr>
        <w:ind w:left="4653" w:hanging="347"/>
      </w:pPr>
      <w:rPr>
        <w:rFonts w:hint="default"/>
      </w:rPr>
    </w:lvl>
    <w:lvl w:ilvl="7" w:tplc="6AB07FC4">
      <w:numFmt w:val="bullet"/>
      <w:lvlText w:val="•"/>
      <w:lvlJc w:val="left"/>
      <w:pPr>
        <w:ind w:left="5305" w:hanging="347"/>
      </w:pPr>
      <w:rPr>
        <w:rFonts w:hint="default"/>
      </w:rPr>
    </w:lvl>
    <w:lvl w:ilvl="8" w:tplc="F0C45932">
      <w:numFmt w:val="bullet"/>
      <w:lvlText w:val="•"/>
      <w:lvlJc w:val="left"/>
      <w:pPr>
        <w:ind w:left="5957" w:hanging="347"/>
      </w:pPr>
      <w:rPr>
        <w:rFonts w:hint="default"/>
      </w:rPr>
    </w:lvl>
  </w:abstractNum>
  <w:abstractNum w:abstractNumId="2" w15:restartNumberingAfterBreak="0">
    <w:nsid w:val="7169135B"/>
    <w:multiLevelType w:val="hybridMultilevel"/>
    <w:tmpl w:val="6E5C4102"/>
    <w:lvl w:ilvl="0" w:tplc="43268226">
      <w:start w:val="7"/>
      <w:numFmt w:val="decimal"/>
      <w:lvlText w:val="%1."/>
      <w:lvlJc w:val="left"/>
      <w:pPr>
        <w:ind w:left="419" w:hanging="201"/>
        <w:jc w:val="left"/>
      </w:pPr>
      <w:rPr>
        <w:rFonts w:hint="default"/>
        <w:w w:val="99"/>
      </w:rPr>
    </w:lvl>
    <w:lvl w:ilvl="1" w:tplc="51E095AC">
      <w:numFmt w:val="bullet"/>
      <w:lvlText w:val="-"/>
      <w:lvlJc w:val="left"/>
      <w:pPr>
        <w:ind w:left="400" w:hanging="305"/>
      </w:pPr>
      <w:rPr>
        <w:rFonts w:ascii="Verdana" w:eastAsia="Verdana" w:hAnsi="Verdana" w:cs="Verdana" w:hint="default"/>
        <w:w w:val="99"/>
        <w:sz w:val="20"/>
        <w:szCs w:val="20"/>
      </w:rPr>
    </w:lvl>
    <w:lvl w:ilvl="2" w:tplc="8278D412">
      <w:numFmt w:val="bullet"/>
      <w:lvlText w:val="•"/>
      <w:lvlJc w:val="left"/>
      <w:pPr>
        <w:ind w:left="1180" w:hanging="305"/>
      </w:pPr>
      <w:rPr>
        <w:rFonts w:hint="default"/>
      </w:rPr>
    </w:lvl>
    <w:lvl w:ilvl="3" w:tplc="71EAAF94">
      <w:numFmt w:val="bullet"/>
      <w:lvlText w:val="•"/>
      <w:lvlJc w:val="left"/>
      <w:pPr>
        <w:ind w:left="1940" w:hanging="305"/>
      </w:pPr>
      <w:rPr>
        <w:rFonts w:hint="default"/>
      </w:rPr>
    </w:lvl>
    <w:lvl w:ilvl="4" w:tplc="3452A91A">
      <w:numFmt w:val="bullet"/>
      <w:lvlText w:val="•"/>
      <w:lvlJc w:val="left"/>
      <w:pPr>
        <w:ind w:left="2700" w:hanging="305"/>
      </w:pPr>
      <w:rPr>
        <w:rFonts w:hint="default"/>
      </w:rPr>
    </w:lvl>
    <w:lvl w:ilvl="5" w:tplc="D6FADA3C">
      <w:numFmt w:val="bullet"/>
      <w:lvlText w:val="•"/>
      <w:lvlJc w:val="left"/>
      <w:pPr>
        <w:ind w:left="3460" w:hanging="305"/>
      </w:pPr>
      <w:rPr>
        <w:rFonts w:hint="default"/>
      </w:rPr>
    </w:lvl>
    <w:lvl w:ilvl="6" w:tplc="ACACD1F4">
      <w:numFmt w:val="bullet"/>
      <w:lvlText w:val="•"/>
      <w:lvlJc w:val="left"/>
      <w:pPr>
        <w:ind w:left="4221" w:hanging="305"/>
      </w:pPr>
      <w:rPr>
        <w:rFonts w:hint="default"/>
      </w:rPr>
    </w:lvl>
    <w:lvl w:ilvl="7" w:tplc="3EB0351C">
      <w:numFmt w:val="bullet"/>
      <w:lvlText w:val="•"/>
      <w:lvlJc w:val="left"/>
      <w:pPr>
        <w:ind w:left="4981" w:hanging="305"/>
      </w:pPr>
      <w:rPr>
        <w:rFonts w:hint="default"/>
      </w:rPr>
    </w:lvl>
    <w:lvl w:ilvl="8" w:tplc="C3E6FB2A">
      <w:numFmt w:val="bullet"/>
      <w:lvlText w:val="•"/>
      <w:lvlJc w:val="left"/>
      <w:pPr>
        <w:ind w:left="5741" w:hanging="305"/>
      </w:pPr>
      <w:rPr>
        <w:rFonts w:hint="default"/>
      </w:rPr>
    </w:lvl>
  </w:abstractNum>
  <w:abstractNum w:abstractNumId="3" w15:restartNumberingAfterBreak="0">
    <w:nsid w:val="74E659FD"/>
    <w:multiLevelType w:val="hybridMultilevel"/>
    <w:tmpl w:val="1DF478F0"/>
    <w:lvl w:ilvl="0" w:tplc="104A604A">
      <w:start w:val="19"/>
      <w:numFmt w:val="lowerLetter"/>
      <w:lvlText w:val="(%1)"/>
      <w:lvlJc w:val="left"/>
      <w:pPr>
        <w:ind w:left="40" w:hanging="358"/>
        <w:jc w:val="left"/>
      </w:pPr>
      <w:rPr>
        <w:rFonts w:ascii="Verdana" w:eastAsia="Verdana" w:hAnsi="Verdana" w:cs="Verdana" w:hint="default"/>
        <w:i/>
        <w:spacing w:val="0"/>
        <w:w w:val="99"/>
        <w:sz w:val="20"/>
        <w:szCs w:val="20"/>
      </w:rPr>
    </w:lvl>
    <w:lvl w:ilvl="1" w:tplc="69E01FC0">
      <w:start w:val="1"/>
      <w:numFmt w:val="lowerRoman"/>
      <w:lvlText w:val="(%2)"/>
      <w:lvlJc w:val="left"/>
      <w:pPr>
        <w:ind w:left="760" w:hanging="360"/>
        <w:jc w:val="left"/>
      </w:pPr>
      <w:rPr>
        <w:rFonts w:ascii="Verdana" w:eastAsia="Verdana" w:hAnsi="Verdana" w:cs="Verdana" w:hint="default"/>
        <w:i/>
        <w:spacing w:val="-1"/>
        <w:w w:val="99"/>
        <w:sz w:val="20"/>
        <w:szCs w:val="20"/>
      </w:rPr>
    </w:lvl>
    <w:lvl w:ilvl="2" w:tplc="8F8C5AD4">
      <w:numFmt w:val="bullet"/>
      <w:lvlText w:val="•"/>
      <w:lvlJc w:val="left"/>
      <w:pPr>
        <w:ind w:left="1482" w:hanging="360"/>
      </w:pPr>
      <w:rPr>
        <w:rFonts w:hint="default"/>
      </w:rPr>
    </w:lvl>
    <w:lvl w:ilvl="3" w:tplc="129A23D0">
      <w:numFmt w:val="bullet"/>
      <w:lvlText w:val="•"/>
      <w:lvlJc w:val="left"/>
      <w:pPr>
        <w:ind w:left="2204" w:hanging="360"/>
      </w:pPr>
      <w:rPr>
        <w:rFonts w:hint="default"/>
      </w:rPr>
    </w:lvl>
    <w:lvl w:ilvl="4" w:tplc="49B41246">
      <w:numFmt w:val="bullet"/>
      <w:lvlText w:val="•"/>
      <w:lvlJc w:val="left"/>
      <w:pPr>
        <w:ind w:left="2927" w:hanging="360"/>
      </w:pPr>
      <w:rPr>
        <w:rFonts w:hint="default"/>
      </w:rPr>
    </w:lvl>
    <w:lvl w:ilvl="5" w:tplc="71BEDFD6">
      <w:numFmt w:val="bullet"/>
      <w:lvlText w:val="•"/>
      <w:lvlJc w:val="left"/>
      <w:pPr>
        <w:ind w:left="3649" w:hanging="360"/>
      </w:pPr>
      <w:rPr>
        <w:rFonts w:hint="default"/>
      </w:rPr>
    </w:lvl>
    <w:lvl w:ilvl="6" w:tplc="963CFFEE">
      <w:numFmt w:val="bullet"/>
      <w:lvlText w:val="•"/>
      <w:lvlJc w:val="left"/>
      <w:pPr>
        <w:ind w:left="4372" w:hanging="360"/>
      </w:pPr>
      <w:rPr>
        <w:rFonts w:hint="default"/>
      </w:rPr>
    </w:lvl>
    <w:lvl w:ilvl="7" w:tplc="0A0A857E">
      <w:numFmt w:val="bullet"/>
      <w:lvlText w:val="•"/>
      <w:lvlJc w:val="left"/>
      <w:pPr>
        <w:ind w:left="5094" w:hanging="360"/>
      </w:pPr>
      <w:rPr>
        <w:rFonts w:hint="default"/>
      </w:rPr>
    </w:lvl>
    <w:lvl w:ilvl="8" w:tplc="AE00B164">
      <w:numFmt w:val="bullet"/>
      <w:lvlText w:val="•"/>
      <w:lvlJc w:val="left"/>
      <w:pPr>
        <w:ind w:left="5817" w:hanging="36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3F631BE-46D9-4D27-80D2-8B9826C1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40"/>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Verdana" w:eastAsia="Verdana" w:hAnsi="Verdana" w:cs="Verdana"/>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Verdana" w:eastAsia="Verdana" w:hAnsi="Verdana" w:cs="Verdana"/>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Verdan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2829</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Microsoft Word - v2 Contract conditii specifice DBO TMB Galat&amp;i 29 august 2023.docx</vt:lpstr>
    </vt:vector>
  </TitlesOfParts>
  <Company/>
  <LinksUpToDate>false</LinksUpToDate>
  <CharactersWithSpaces>18921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v2 Contract conditii specifice DBO TMB Galat&amp;i 29 august 2023.docx</dc:title>
  <cp:lastModifiedBy>t-user</cp:lastModifiedBy>
  <cp:revision>5</cp:revision>
  <cp:lastPrinted>2026-05-22T04:41:00Z</cp:lastPrinted>
  <dcterms:created xsi:type="dcterms:W3CDTF">2026-05-21T11:40:00Z</dcterms:created>
  <dcterms:modified xsi:type="dcterms:W3CDTF">2026-05-22T04:42:00Z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2025-10-09T00:00:00Z</vt:filetime>
  </property>
  <property fmtid="{D5CDD505-2E9C-101B-9397-08002B2CF9AE}" pid="3" name="LastSaved">
    <vt:filetime>2026-05-21T00:00:00Z</vt:filetime>
  </property>
</Properties>
</file>